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20" w:beforeLines="50" w:line="600" w:lineRule="exact"/>
        <w:jc w:val="center"/>
        <w:rPr>
          <w:rFonts w:ascii="宋体" w:hAnsi="宋体" w:cs="宋体"/>
          <w:b/>
          <w:bCs/>
          <w:color w:val="auto"/>
          <w:kern w:val="0"/>
          <w:sz w:val="48"/>
          <w:szCs w:val="48"/>
        </w:rPr>
      </w:pPr>
      <w:bookmarkStart w:id="0" w:name="_Toc511142436"/>
      <w:bookmarkStart w:id="1" w:name="_Toc368759511"/>
      <w:bookmarkStart w:id="2" w:name="_Toc369077550"/>
      <w:r>
        <w:rPr>
          <w:rFonts w:hint="eastAsia" w:ascii="宋体" w:hAnsi="宋体" w:cs="宋体"/>
          <w:b/>
          <w:bCs/>
          <w:color w:val="auto"/>
          <w:kern w:val="0"/>
          <w:sz w:val="48"/>
          <w:szCs w:val="48"/>
          <w:lang w:val="en-US" w:eastAsia="zh-CN"/>
        </w:rPr>
        <w:t xml:space="preserve"> </w:t>
      </w:r>
      <w:r>
        <w:rPr>
          <w:rFonts w:hint="eastAsia" w:ascii="宋体" w:hAnsi="宋体" w:cs="宋体"/>
          <w:b/>
          <w:bCs/>
          <w:color w:val="auto"/>
          <w:kern w:val="0"/>
          <w:sz w:val="48"/>
          <w:szCs w:val="48"/>
        </w:rPr>
        <w:t>盐城市大丰区自然资源信息化监管平台</w:t>
      </w:r>
    </w:p>
    <w:p>
      <w:pPr>
        <w:spacing w:before="120" w:beforeLines="50" w:line="600" w:lineRule="exact"/>
        <w:jc w:val="center"/>
        <w:rPr>
          <w:rFonts w:ascii="宋体" w:hAnsi="宋体" w:cs="宋体"/>
          <w:color w:val="auto"/>
          <w:sz w:val="48"/>
          <w:szCs w:val="48"/>
        </w:rPr>
      </w:pPr>
      <w:r>
        <w:rPr>
          <w:rFonts w:hint="eastAsia" w:ascii="宋体" w:hAnsi="宋体" w:cs="宋体"/>
          <w:b/>
          <w:bCs/>
          <w:color w:val="auto"/>
          <w:kern w:val="0"/>
          <w:sz w:val="48"/>
          <w:szCs w:val="48"/>
        </w:rPr>
        <w:t>（鹰眼系统）服务项目</w:t>
      </w:r>
      <w:r>
        <w:rPr>
          <w:rFonts w:hint="eastAsia" w:ascii="宋体" w:hAnsi="宋体" w:cs="宋体"/>
          <w:color w:val="auto"/>
          <w:sz w:val="48"/>
          <w:szCs w:val="48"/>
        </w:rPr>
        <w:t xml:space="preserve"> </w:t>
      </w:r>
    </w:p>
    <w:p>
      <w:pPr>
        <w:spacing w:before="120" w:beforeLines="50" w:line="600" w:lineRule="exact"/>
        <w:jc w:val="center"/>
        <w:rPr>
          <w:rFonts w:ascii="宋体" w:hAnsi="宋体" w:cs="宋体"/>
          <w:color w:val="auto"/>
          <w:sz w:val="72"/>
          <w:szCs w:val="72"/>
        </w:rPr>
      </w:pPr>
    </w:p>
    <w:p>
      <w:pPr>
        <w:spacing w:before="120" w:beforeLines="50" w:line="600" w:lineRule="exact"/>
        <w:jc w:val="center"/>
        <w:rPr>
          <w:rFonts w:ascii="宋体" w:hAnsi="宋体" w:cs="宋体"/>
          <w:color w:val="auto"/>
          <w:sz w:val="72"/>
          <w:szCs w:val="72"/>
        </w:rPr>
      </w:pPr>
    </w:p>
    <w:p>
      <w:pPr>
        <w:spacing w:before="120" w:beforeLines="50" w:line="600" w:lineRule="exact"/>
        <w:rPr>
          <w:rFonts w:ascii="宋体" w:hAnsi="宋体" w:cs="宋体"/>
          <w:color w:val="auto"/>
          <w:sz w:val="72"/>
          <w:szCs w:val="72"/>
        </w:rPr>
      </w:pPr>
      <w:r>
        <w:rPr>
          <w:rFonts w:hint="eastAsia" w:ascii="宋体" w:hAnsi="宋体" w:cs="宋体"/>
          <w:color w:val="auto"/>
          <w:sz w:val="72"/>
          <w:szCs w:val="72"/>
        </w:rPr>
        <w:t xml:space="preserve"> </w:t>
      </w:r>
      <w:r>
        <w:rPr>
          <w:rFonts w:ascii="宋体" w:hAnsi="宋体" w:cs="宋体"/>
          <w:color w:val="auto"/>
          <w:sz w:val="72"/>
          <w:szCs w:val="72"/>
        </w:rPr>
        <w:t xml:space="preserve">          </w:t>
      </w:r>
    </w:p>
    <w:p>
      <w:pPr>
        <w:spacing w:before="120" w:beforeLines="50" w:line="600" w:lineRule="exact"/>
        <w:rPr>
          <w:rFonts w:ascii="宋体" w:hAnsi="宋体" w:cs="宋体"/>
          <w:color w:val="auto"/>
          <w:sz w:val="72"/>
          <w:szCs w:val="72"/>
        </w:rPr>
      </w:pPr>
      <w:r>
        <w:rPr>
          <w:rFonts w:ascii="宋体" w:hAnsi="宋体" w:cs="宋体"/>
          <w:color w:val="auto"/>
          <w:sz w:val="72"/>
          <w:szCs w:val="72"/>
        </w:rPr>
        <w:t xml:space="preserve">  </w:t>
      </w:r>
    </w:p>
    <w:p>
      <w:pPr>
        <w:spacing w:before="120" w:beforeLines="50" w:line="600" w:lineRule="exact"/>
        <w:rPr>
          <w:rFonts w:ascii="宋体" w:hAnsi="宋体" w:cs="宋体"/>
          <w:color w:val="auto"/>
          <w:sz w:val="72"/>
          <w:szCs w:val="72"/>
        </w:rPr>
      </w:pPr>
    </w:p>
    <w:p>
      <w:pPr>
        <w:spacing w:before="120" w:beforeLines="50" w:line="800" w:lineRule="exact"/>
        <w:jc w:val="center"/>
        <w:rPr>
          <w:rFonts w:ascii="宋体" w:hAnsi="宋体" w:cs="宋体"/>
          <w:color w:val="auto"/>
          <w:sz w:val="84"/>
          <w:szCs w:val="84"/>
        </w:rPr>
      </w:pPr>
      <w:r>
        <w:rPr>
          <w:rFonts w:hint="eastAsia" w:ascii="宋体" w:hAnsi="宋体" w:cs="宋体"/>
          <w:color w:val="auto"/>
          <w:sz w:val="84"/>
          <w:szCs w:val="84"/>
        </w:rPr>
        <w:t>公开招标采购文件</w:t>
      </w:r>
    </w:p>
    <w:p>
      <w:pPr>
        <w:pStyle w:val="24"/>
        <w:snapToGrid w:val="0"/>
        <w:spacing w:before="120" w:after="120" w:line="1200" w:lineRule="exact"/>
        <w:rPr>
          <w:rFonts w:hAnsi="宋体" w:cs="宋体"/>
          <w:b/>
          <w:color w:val="auto"/>
          <w:sz w:val="36"/>
          <w:szCs w:val="36"/>
        </w:rPr>
      </w:pPr>
      <w:r>
        <w:rPr>
          <w:rFonts w:hint="eastAsia" w:hAnsi="宋体" w:cs="宋体"/>
          <w:b/>
          <w:color w:val="auto"/>
          <w:sz w:val="36"/>
          <w:szCs w:val="36"/>
        </w:rPr>
        <w:t xml:space="preserve">        </w:t>
      </w:r>
    </w:p>
    <w:p>
      <w:pPr>
        <w:pStyle w:val="24"/>
        <w:snapToGrid w:val="0"/>
        <w:spacing w:before="120" w:after="120" w:line="1200" w:lineRule="exact"/>
        <w:rPr>
          <w:rFonts w:hAnsi="宋体" w:cs="宋体"/>
          <w:b/>
          <w:color w:val="auto"/>
          <w:sz w:val="36"/>
          <w:szCs w:val="36"/>
        </w:rPr>
      </w:pPr>
    </w:p>
    <w:p>
      <w:pPr>
        <w:pStyle w:val="24"/>
        <w:snapToGrid w:val="0"/>
        <w:spacing w:before="120" w:after="120" w:line="1200" w:lineRule="exact"/>
        <w:rPr>
          <w:rFonts w:hAnsi="宋体" w:cs="宋体"/>
          <w:b/>
          <w:color w:val="auto"/>
          <w:sz w:val="36"/>
          <w:szCs w:val="36"/>
        </w:rPr>
      </w:pPr>
    </w:p>
    <w:p>
      <w:pPr>
        <w:pStyle w:val="24"/>
        <w:snapToGrid w:val="0"/>
        <w:spacing w:before="120" w:after="120" w:line="1200" w:lineRule="exact"/>
        <w:ind w:firstLine="611" w:firstLineChars="200"/>
        <w:rPr>
          <w:rFonts w:hAnsi="宋体" w:cs="宋体"/>
          <w:b/>
          <w:color w:val="auto"/>
          <w:sz w:val="32"/>
          <w:szCs w:val="32"/>
        </w:rPr>
      </w:pPr>
      <w:r>
        <w:rPr>
          <w:rFonts w:hint="eastAsia" w:hAnsi="宋体" w:cs="宋体"/>
          <w:b/>
          <w:bCs/>
          <w:color w:val="auto"/>
          <w:w w:val="95"/>
          <w:sz w:val="32"/>
          <w:szCs w:val="32"/>
        </w:rPr>
        <w:t>招 标 单 位</w:t>
      </w:r>
      <w:r>
        <w:rPr>
          <w:rFonts w:hint="eastAsia" w:hAnsi="宋体" w:cs="宋体"/>
          <w:b/>
          <w:color w:val="auto"/>
          <w:sz w:val="32"/>
          <w:szCs w:val="32"/>
        </w:rPr>
        <w:t>：</w:t>
      </w:r>
      <w:r>
        <w:rPr>
          <w:rFonts w:hint="eastAsia" w:hAnsi="宋体" w:cs="宋体"/>
          <w:b/>
          <w:color w:val="auto"/>
          <w:sz w:val="32"/>
          <w:szCs w:val="32"/>
          <w:u w:val="single"/>
        </w:rPr>
        <w:t xml:space="preserve">     </w:t>
      </w:r>
      <w:r>
        <w:rPr>
          <w:rFonts w:hint="eastAsia" w:hAnsi="宋体" w:cs="宋体"/>
          <w:b/>
          <w:bCs/>
          <w:color w:val="auto"/>
          <w:w w:val="95"/>
          <w:sz w:val="32"/>
          <w:szCs w:val="32"/>
          <w:u w:val="single"/>
        </w:rPr>
        <w:t xml:space="preserve">盐城市大丰区自然资源和规划局      </w:t>
      </w:r>
    </w:p>
    <w:p>
      <w:pPr>
        <w:pStyle w:val="24"/>
        <w:snapToGrid w:val="0"/>
        <w:spacing w:before="120" w:after="120" w:line="1200" w:lineRule="exact"/>
        <w:ind w:firstLine="611" w:firstLineChars="200"/>
        <w:rPr>
          <w:rFonts w:hAnsi="宋体" w:cs="宋体"/>
          <w:b/>
          <w:color w:val="auto"/>
          <w:sz w:val="32"/>
          <w:szCs w:val="32"/>
        </w:rPr>
      </w:pPr>
      <w:r>
        <w:rPr>
          <w:rFonts w:hint="eastAsia" w:hAnsi="宋体" w:cs="宋体"/>
          <w:b/>
          <w:bCs/>
          <w:color w:val="auto"/>
          <w:w w:val="95"/>
          <w:sz w:val="32"/>
          <w:szCs w:val="32"/>
        </w:rPr>
        <w:t>招标代理机构：</w:t>
      </w:r>
      <w:r>
        <w:rPr>
          <w:rFonts w:hint="eastAsia" w:hAnsi="宋体" w:cs="宋体"/>
          <w:b/>
          <w:bCs/>
          <w:color w:val="auto"/>
          <w:w w:val="95"/>
          <w:sz w:val="32"/>
          <w:szCs w:val="32"/>
          <w:u w:val="single"/>
        </w:rPr>
        <w:t>江苏仁禾中衡工程咨询房地产估价有限公司</w:t>
      </w:r>
    </w:p>
    <w:p>
      <w:pPr>
        <w:pStyle w:val="24"/>
        <w:spacing w:before="120" w:after="120" w:line="1160" w:lineRule="exact"/>
        <w:jc w:val="center"/>
        <w:rPr>
          <w:rFonts w:hAnsi="宋体" w:cs="宋体"/>
          <w:b/>
          <w:color w:val="auto"/>
          <w:sz w:val="32"/>
          <w:szCs w:val="32"/>
        </w:rPr>
      </w:pPr>
      <w:r>
        <w:rPr>
          <w:rFonts w:hint="eastAsia" w:hAnsi="宋体" w:cs="宋体"/>
          <w:b/>
          <w:color w:val="auto"/>
          <w:sz w:val="32"/>
          <w:szCs w:val="32"/>
        </w:rPr>
        <w:t>二〇二二年一月</w:t>
      </w:r>
    </w:p>
    <w:p>
      <w:pPr>
        <w:rPr>
          <w:rFonts w:ascii="黑体" w:hAnsi="宋体" w:eastAsia="黑体" w:cs="宋体"/>
          <w:color w:val="auto"/>
          <w:sz w:val="32"/>
          <w:szCs w:val="32"/>
        </w:rPr>
        <w:sectPr>
          <w:footerReference r:id="rId6" w:type="first"/>
          <w:headerReference r:id="rId3" w:type="default"/>
          <w:footerReference r:id="rId4" w:type="default"/>
          <w:footerReference r:id="rId5" w:type="even"/>
          <w:pgSz w:w="11907" w:h="16840"/>
          <w:pgMar w:top="1418" w:right="1418" w:bottom="1418" w:left="1418" w:header="1134" w:footer="1134" w:gutter="0"/>
          <w:pgNumType w:start="1"/>
          <w:cols w:space="720" w:num="1"/>
        </w:sectPr>
      </w:pPr>
    </w:p>
    <w:p>
      <w:pPr>
        <w:spacing w:line="360" w:lineRule="auto"/>
        <w:ind w:firstLine="3420" w:firstLineChars="950"/>
        <w:rPr>
          <w:rFonts w:ascii="宋体" w:hAnsi="宋体"/>
          <w:color w:val="auto"/>
          <w:sz w:val="36"/>
          <w:szCs w:val="36"/>
        </w:rPr>
      </w:pPr>
      <w:r>
        <w:rPr>
          <w:rFonts w:hint="eastAsia" w:ascii="宋体" w:hAnsi="宋体"/>
          <w:color w:val="auto"/>
          <w:sz w:val="36"/>
          <w:szCs w:val="36"/>
        </w:rPr>
        <w:t>不见面开标须知</w:t>
      </w:r>
    </w:p>
    <w:p>
      <w:pPr>
        <w:spacing w:line="420" w:lineRule="exact"/>
        <w:rPr>
          <w:rFonts w:ascii="宋体" w:hAnsi="宋体" w:cs="宋体"/>
          <w:color w:val="auto"/>
          <w:sz w:val="24"/>
        </w:rPr>
      </w:pPr>
      <w:r>
        <w:rPr>
          <w:rFonts w:hint="eastAsia" w:ascii="宋体" w:hAnsi="宋体" w:cs="宋体"/>
          <w:color w:val="auto"/>
          <w:sz w:val="24"/>
        </w:rPr>
        <w:t>各投标单位：</w:t>
      </w:r>
    </w:p>
    <w:p>
      <w:pPr>
        <w:spacing w:line="420" w:lineRule="exact"/>
        <w:ind w:firstLine="480" w:firstLineChars="200"/>
        <w:rPr>
          <w:rFonts w:ascii="宋体" w:hAnsi="宋体" w:cs="宋体"/>
          <w:color w:val="auto"/>
          <w:sz w:val="24"/>
        </w:rPr>
      </w:pPr>
      <w:r>
        <w:rPr>
          <w:rFonts w:hint="eastAsia" w:ascii="宋体" w:hAnsi="宋体" w:cs="宋体"/>
          <w:color w:val="auto"/>
          <w:sz w:val="24"/>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更改为不见面纸质文件开标。开标当日，投标人无需到达开标现场，仅需在任意地点通过 PC端或移动端的“腾讯会议”及相应的配套硬件设备参加开标会议。</w:t>
      </w:r>
    </w:p>
    <w:p>
      <w:pPr>
        <w:spacing w:line="420" w:lineRule="exact"/>
        <w:ind w:firstLine="480" w:firstLineChars="200"/>
        <w:rPr>
          <w:rFonts w:ascii="宋体" w:hAnsi="宋体"/>
          <w:color w:val="auto"/>
          <w:sz w:val="24"/>
        </w:rPr>
      </w:pPr>
      <w:r>
        <w:rPr>
          <w:rFonts w:hint="eastAsia" w:ascii="宋体" w:hAnsi="宋体" w:cs="宋体"/>
          <w:color w:val="auto"/>
          <w:sz w:val="24"/>
        </w:rPr>
        <w:t>参加会议的方法（必选）：电脑或智能手机可以搜索下载并安装“腾讯会议”，也可以在微信小程序中添加“腾讯会议”，注册完成后点击“加入会议”，输入会议号“</w:t>
      </w:r>
      <w:r>
        <w:rPr>
          <w:rFonts w:hint="eastAsia" w:ascii="宋体" w:hAnsi="宋体" w:cs="宋体"/>
          <w:color w:val="auto"/>
          <w:sz w:val="24"/>
          <w:u w:val="single"/>
        </w:rPr>
        <w:t xml:space="preserve"> </w:t>
      </w:r>
      <w:r>
        <w:rPr>
          <w:rFonts w:hint="eastAsia" w:cs="宋体" w:asciiTheme="minorEastAsia" w:hAnsiTheme="minorEastAsia" w:eastAsiaTheme="minorEastAsia"/>
          <w:color w:val="auto"/>
          <w:kern w:val="0"/>
          <w:sz w:val="24"/>
          <w:u w:val="single"/>
          <w:shd w:val="clear" w:color="auto" w:fill="FFFFFF"/>
          <w:lang w:val="en-US" w:eastAsia="zh-CN"/>
        </w:rPr>
        <w:t>788-951-048</w:t>
      </w:r>
      <w:r>
        <w:rPr>
          <w:rFonts w:hint="eastAsia" w:ascii="宋体" w:hAnsi="宋体" w:cs="宋体"/>
          <w:color w:val="auto"/>
          <w:sz w:val="24"/>
          <w:u w:val="single"/>
        </w:rPr>
        <w:t xml:space="preserve"> </w:t>
      </w:r>
      <w:r>
        <w:rPr>
          <w:rFonts w:hint="eastAsia" w:ascii="宋体" w:hAnsi="宋体" w:cs="宋体"/>
          <w:color w:val="auto"/>
          <w:sz w:val="24"/>
        </w:rPr>
        <w:t>”，“您的姓名”按“</w:t>
      </w:r>
      <w:r>
        <w:rPr>
          <w:rFonts w:ascii="宋体" w:hAnsi="宋体"/>
          <w:b/>
          <w:bCs/>
          <w:color w:val="auto"/>
          <w:sz w:val="24"/>
        </w:rPr>
        <w:t>单位</w:t>
      </w:r>
      <w:r>
        <w:rPr>
          <w:rFonts w:hint="eastAsia" w:ascii="宋体" w:hAnsi="宋体"/>
          <w:b/>
          <w:bCs/>
          <w:color w:val="auto"/>
          <w:sz w:val="24"/>
        </w:rPr>
        <w:t>简</w:t>
      </w:r>
      <w:r>
        <w:rPr>
          <w:rFonts w:ascii="宋体" w:hAnsi="宋体"/>
          <w:b/>
          <w:bCs/>
          <w:color w:val="auto"/>
          <w:sz w:val="24"/>
        </w:rPr>
        <w:t>称+授权委托人姓名</w:t>
      </w:r>
      <w:r>
        <w:rPr>
          <w:rFonts w:ascii="宋体" w:hAnsi="宋体"/>
          <w:color w:val="auto"/>
          <w:sz w:val="24"/>
        </w:rPr>
        <w:t>”格式填写，然后点击“加入会议”。会议系统将在投标截止时间前10分钟开放。</w:t>
      </w:r>
    </w:p>
    <w:p>
      <w:pPr>
        <w:spacing w:line="420" w:lineRule="exact"/>
        <w:ind w:firstLine="480" w:firstLineChars="200"/>
        <w:rPr>
          <w:rFonts w:ascii="宋体" w:hAnsi="宋体"/>
          <w:color w:val="auto"/>
          <w:sz w:val="24"/>
        </w:rPr>
      </w:pPr>
      <w:r>
        <w:rPr>
          <w:rFonts w:hint="eastAsia" w:ascii="宋体" w:hAnsi="宋体"/>
          <w:color w:val="auto"/>
          <w:sz w:val="24"/>
        </w:rPr>
        <w:t>2、开标程序</w:t>
      </w:r>
    </w:p>
    <w:p>
      <w:pPr>
        <w:spacing w:line="420" w:lineRule="exact"/>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w:t>
      </w:r>
      <w:r>
        <w:rPr>
          <w:rFonts w:hint="eastAsia" w:ascii="宋体" w:hAnsi="宋体"/>
          <w:color w:val="auto"/>
          <w:sz w:val="24"/>
        </w:rPr>
        <w:t>1 招标人按下列程序进行开标：</w:t>
      </w:r>
    </w:p>
    <w:p>
      <w:pPr>
        <w:pStyle w:val="2"/>
        <w:spacing w:line="420" w:lineRule="exact"/>
        <w:ind w:firstLine="480" w:firstLineChars="200"/>
        <w:rPr>
          <w:rFonts w:ascii="宋体" w:hAnsi="宋体"/>
          <w:color w:val="auto"/>
          <w:sz w:val="24"/>
        </w:rPr>
      </w:pPr>
      <w:r>
        <w:rPr>
          <w:rFonts w:hint="eastAsia" w:ascii="宋体" w:hAnsi="宋体"/>
          <w:color w:val="auto"/>
          <w:sz w:val="24"/>
        </w:rPr>
        <w:t>（1）宣布开标纪律；</w:t>
      </w:r>
    </w:p>
    <w:p>
      <w:pPr>
        <w:pStyle w:val="2"/>
        <w:spacing w:line="420" w:lineRule="exact"/>
        <w:ind w:firstLine="480" w:firstLineChars="200"/>
        <w:rPr>
          <w:rFonts w:ascii="宋体" w:hAnsi="宋体"/>
          <w:color w:val="auto"/>
          <w:sz w:val="24"/>
        </w:rPr>
      </w:pPr>
      <w:r>
        <w:rPr>
          <w:rFonts w:hint="eastAsia" w:ascii="宋体" w:hAnsi="宋体"/>
          <w:color w:val="auto"/>
          <w:sz w:val="24"/>
        </w:rPr>
        <w:t>（2）公布在投标截止时间前递交投标文件的投标人名称；</w:t>
      </w:r>
    </w:p>
    <w:p>
      <w:pPr>
        <w:pStyle w:val="2"/>
        <w:spacing w:line="420" w:lineRule="exact"/>
        <w:ind w:firstLine="480" w:firstLineChars="200"/>
        <w:rPr>
          <w:rFonts w:ascii="宋体" w:hAnsi="宋体"/>
          <w:color w:val="auto"/>
          <w:sz w:val="24"/>
        </w:rPr>
      </w:pPr>
      <w:r>
        <w:rPr>
          <w:rFonts w:hint="eastAsia" w:ascii="宋体" w:hAnsi="宋体"/>
          <w:color w:val="auto"/>
          <w:sz w:val="24"/>
        </w:rPr>
        <w:t>（3）宣布相关参会人员姓名；</w:t>
      </w:r>
    </w:p>
    <w:p>
      <w:pPr>
        <w:pStyle w:val="2"/>
        <w:spacing w:line="420" w:lineRule="exact"/>
        <w:ind w:firstLine="480" w:firstLineChars="200"/>
        <w:rPr>
          <w:rFonts w:ascii="宋体" w:hAnsi="宋体"/>
          <w:color w:val="auto"/>
          <w:sz w:val="24"/>
        </w:rPr>
      </w:pPr>
      <w:r>
        <w:rPr>
          <w:rFonts w:hint="eastAsia" w:ascii="宋体" w:hAnsi="宋体"/>
          <w:color w:val="auto"/>
          <w:sz w:val="24"/>
        </w:rPr>
        <w:t>（4）检查投标文件的密封情况；</w:t>
      </w:r>
    </w:p>
    <w:p>
      <w:pPr>
        <w:pStyle w:val="2"/>
        <w:spacing w:line="420" w:lineRule="exact"/>
        <w:ind w:firstLine="480" w:firstLineChars="200"/>
        <w:rPr>
          <w:rFonts w:ascii="宋体" w:hAnsi="宋体"/>
          <w:color w:val="auto"/>
          <w:sz w:val="24"/>
        </w:rPr>
      </w:pPr>
      <w:r>
        <w:rPr>
          <w:rFonts w:hint="eastAsia" w:ascii="宋体" w:hAnsi="宋体"/>
          <w:color w:val="auto"/>
          <w:sz w:val="24"/>
        </w:rPr>
        <w:t>（5）当众开标、唱标，并记录在案；</w:t>
      </w:r>
    </w:p>
    <w:p>
      <w:pPr>
        <w:pStyle w:val="2"/>
        <w:spacing w:line="420" w:lineRule="exact"/>
        <w:ind w:firstLine="480" w:firstLineChars="200"/>
        <w:rPr>
          <w:rFonts w:ascii="宋体" w:hAnsi="宋体"/>
          <w:color w:val="auto"/>
          <w:sz w:val="24"/>
        </w:rPr>
      </w:pPr>
      <w:r>
        <w:rPr>
          <w:rFonts w:hint="eastAsia" w:ascii="宋体" w:hAnsi="宋体"/>
          <w:color w:val="auto"/>
          <w:sz w:val="24"/>
        </w:rPr>
        <w:t>（6）相关参会人员在开标记录上签字确认；</w:t>
      </w:r>
    </w:p>
    <w:p>
      <w:pPr>
        <w:pStyle w:val="2"/>
        <w:spacing w:line="420" w:lineRule="exact"/>
        <w:ind w:firstLine="480" w:firstLineChars="200"/>
        <w:rPr>
          <w:rFonts w:ascii="宋体" w:hAnsi="宋体"/>
          <w:color w:val="auto"/>
          <w:sz w:val="24"/>
        </w:rPr>
      </w:pPr>
      <w:r>
        <w:rPr>
          <w:rFonts w:hint="eastAsia" w:ascii="宋体" w:hAnsi="宋体"/>
          <w:color w:val="auto"/>
          <w:sz w:val="24"/>
        </w:rPr>
        <w:t>（7）开标结束</w:t>
      </w:r>
    </w:p>
    <w:p>
      <w:pPr>
        <w:pStyle w:val="2"/>
        <w:spacing w:line="420" w:lineRule="exact"/>
        <w:ind w:firstLine="480" w:firstLineChars="200"/>
        <w:rPr>
          <w:color w:val="auto"/>
          <w:sz w:val="22"/>
          <w:szCs w:val="28"/>
        </w:rPr>
      </w:pPr>
      <w:r>
        <w:rPr>
          <w:rFonts w:hint="eastAsia" w:ascii="宋体" w:hAnsi="宋体"/>
          <w:color w:val="auto"/>
          <w:sz w:val="24"/>
        </w:rPr>
        <w:t>投标人对开标有异议的，应当在本项目腾讯会议中提出，招标人应当当场作出答复，并做好记录；如无法现场答复的，可转交评标委员会予以解决。</w:t>
      </w:r>
    </w:p>
    <w:p>
      <w:pPr>
        <w:spacing w:line="420" w:lineRule="exact"/>
        <w:ind w:firstLine="480" w:firstLineChars="200"/>
        <w:rPr>
          <w:rFonts w:ascii="宋体" w:hAnsi="宋体"/>
          <w:color w:val="auto"/>
          <w:sz w:val="24"/>
        </w:rPr>
      </w:pPr>
      <w:r>
        <w:rPr>
          <w:rFonts w:hint="eastAsia" w:ascii="宋体" w:hAnsi="宋体"/>
          <w:color w:val="auto"/>
          <w:sz w:val="24"/>
        </w:rPr>
        <w:t>3、因本</w:t>
      </w:r>
      <w:r>
        <w:rPr>
          <w:rFonts w:hint="eastAsia" w:ascii="宋体" w:hAnsi="宋体"/>
          <w:bCs/>
          <w:color w:val="auto"/>
          <w:sz w:val="24"/>
        </w:rPr>
        <w:t>项目</w:t>
      </w:r>
      <w:r>
        <w:rPr>
          <w:rFonts w:hint="eastAsia" w:ascii="宋体" w:hAnsi="宋体"/>
          <w:color w:val="auto"/>
          <w:sz w:val="24"/>
        </w:rPr>
        <w:t xml:space="preserve">采用不见面纸质开标模式，故招标人特别说明如下： </w:t>
      </w:r>
    </w:p>
    <w:p>
      <w:pPr>
        <w:spacing w:line="420" w:lineRule="exact"/>
        <w:ind w:firstLine="480" w:firstLineChars="200"/>
        <w:rPr>
          <w:rFonts w:ascii="宋体" w:hAnsi="宋体"/>
          <w:color w:val="auto"/>
          <w:sz w:val="24"/>
        </w:rPr>
      </w:pPr>
      <w:r>
        <w:rPr>
          <w:rFonts w:hint="eastAsia" w:ascii="宋体" w:hAnsi="宋体"/>
          <w:color w:val="auto"/>
          <w:sz w:val="24"/>
        </w:rPr>
        <w:t>3.1投标人投标文件的编制和递交，应依照招标文件的规定进行。如未按招标文件要求编制、递交投标文件，将可能导致废标，其后果由投标人自负。</w:t>
      </w:r>
      <w:r>
        <w:rPr>
          <w:rFonts w:hint="eastAsia" w:ascii="宋体" w:hAnsi="宋体"/>
          <w:b/>
          <w:bCs/>
          <w:color w:val="auto"/>
          <w:sz w:val="24"/>
          <w:lang w:bidi="zh-CN"/>
        </w:rPr>
        <w:t>特别说明：由于本项目时间紧、任务重，又恰逢防控新型冠状病毒肺炎疫情期，因某种原因无法在规定的时间内递交投标文件的，视同放弃此次投标机会，不得向招标人、监管部门、招标代理机构等所有相关部门追责。</w:t>
      </w:r>
    </w:p>
    <w:p>
      <w:pPr>
        <w:spacing w:line="420" w:lineRule="exact"/>
        <w:ind w:firstLine="480" w:firstLineChars="200"/>
        <w:rPr>
          <w:rFonts w:ascii="宋体" w:hAnsi="宋体"/>
          <w:color w:val="auto"/>
          <w:sz w:val="24"/>
        </w:rPr>
      </w:pPr>
      <w:r>
        <w:rPr>
          <w:rFonts w:hint="eastAsia" w:ascii="宋体" w:hAnsi="宋体"/>
          <w:color w:val="auto"/>
          <w:sz w:val="24"/>
        </w:rPr>
        <w:t>3.2开标当日，投标人提交纸质投标文件后可离开，不需要参加开标现场，开标会议视频按第1条方法进行。</w:t>
      </w:r>
    </w:p>
    <w:p>
      <w:pPr>
        <w:spacing w:line="420" w:lineRule="exact"/>
        <w:ind w:firstLine="480" w:firstLineChars="200"/>
        <w:rPr>
          <w:rFonts w:ascii="宋体" w:hAnsi="宋体"/>
          <w:color w:val="auto"/>
          <w:sz w:val="24"/>
        </w:rPr>
      </w:pPr>
      <w:r>
        <w:rPr>
          <w:rFonts w:hint="eastAsia" w:ascii="宋体" w:hAnsi="宋体"/>
          <w:color w:val="auto"/>
          <w:sz w:val="24"/>
        </w:rPr>
        <w:t>3.3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spacing w:line="420" w:lineRule="exact"/>
        <w:ind w:firstLine="480" w:firstLineChars="200"/>
        <w:rPr>
          <w:rFonts w:ascii="宋体" w:hAnsi="宋体"/>
          <w:color w:val="auto"/>
          <w:sz w:val="24"/>
        </w:rPr>
      </w:pPr>
      <w:r>
        <w:rPr>
          <w:rFonts w:hint="eastAsia" w:ascii="宋体" w:hAnsi="宋体"/>
          <w:color w:val="auto"/>
          <w:sz w:val="24"/>
        </w:rPr>
        <w:t xml:space="preserve">3.4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spacing w:line="420" w:lineRule="exact"/>
        <w:ind w:firstLine="480" w:firstLineChars="200"/>
        <w:rPr>
          <w:rFonts w:ascii="宋体" w:hAnsi="宋体"/>
          <w:color w:val="auto"/>
          <w:sz w:val="24"/>
        </w:rPr>
      </w:pPr>
      <w:r>
        <w:rPr>
          <w:rFonts w:hint="eastAsia" w:ascii="宋体" w:hAnsi="宋体"/>
          <w:color w:val="auto"/>
          <w:sz w:val="24"/>
        </w:rPr>
        <w:t xml:space="preserve">3.5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pPr>
        <w:spacing w:line="420" w:lineRule="exact"/>
        <w:ind w:firstLine="480" w:firstLineChars="200"/>
        <w:rPr>
          <w:rFonts w:ascii="宋体" w:hAnsi="宋体"/>
          <w:color w:val="auto"/>
          <w:sz w:val="24"/>
        </w:rPr>
      </w:pPr>
      <w:r>
        <w:rPr>
          <w:rFonts w:hint="eastAsia" w:ascii="宋体" w:hAnsi="宋体"/>
          <w:color w:val="auto"/>
          <w:sz w:val="24"/>
        </w:rPr>
        <w:t>4、友情提醒：投标人如对上述腾讯会议软件等有疑问的，请尽早和软件公司的服务人员或其他专业人员联系，他们会根据投标人要求，提供必要的培训和技术支持。</w:t>
      </w:r>
    </w:p>
    <w:p>
      <w:pPr>
        <w:spacing w:line="420" w:lineRule="exact"/>
        <w:ind w:firstLine="480" w:firstLineChars="200"/>
        <w:rPr>
          <w:rFonts w:ascii="宋体" w:hAnsi="宋体"/>
          <w:b/>
          <w:color w:val="auto"/>
          <w:sz w:val="24"/>
        </w:rPr>
      </w:pPr>
      <w:r>
        <w:rPr>
          <w:rFonts w:hint="eastAsia" w:ascii="宋体" w:hAnsi="宋体"/>
          <w:b/>
          <w:color w:val="auto"/>
          <w:sz w:val="24"/>
        </w:rPr>
        <w:t>腾讯客服联系方式：0755-83765566</w:t>
      </w:r>
    </w:p>
    <w:p>
      <w:pPr>
        <w:spacing w:line="420" w:lineRule="exact"/>
        <w:ind w:firstLine="480" w:firstLineChars="200"/>
        <w:rPr>
          <w:rFonts w:ascii="宋体" w:hAnsi="宋体"/>
          <w:b/>
          <w:color w:val="auto"/>
          <w:sz w:val="24"/>
        </w:rPr>
      </w:pPr>
      <w:r>
        <w:rPr>
          <w:rFonts w:hint="eastAsia" w:ascii="宋体" w:hAnsi="宋体"/>
          <w:b/>
          <w:color w:val="auto"/>
          <w:sz w:val="24"/>
        </w:rPr>
        <w:t>招标代理业务技术支持联系人：</w:t>
      </w:r>
      <w:r>
        <w:rPr>
          <w:rFonts w:hint="eastAsia" w:ascii="宋体" w:hAnsi="宋体" w:cs="宋体"/>
          <w:color w:val="auto"/>
          <w:sz w:val="24"/>
        </w:rPr>
        <w:t>金燕</w:t>
      </w:r>
      <w:r>
        <w:rPr>
          <w:rFonts w:hint="eastAsia" w:cs="宋体" w:asciiTheme="minorEastAsia" w:hAnsiTheme="minorEastAsia" w:eastAsiaTheme="minorEastAsia"/>
          <w:color w:val="auto"/>
          <w:kern w:val="0"/>
          <w:sz w:val="24"/>
          <w:shd w:val="clear" w:color="auto" w:fill="FFFFFF"/>
        </w:rPr>
        <w:t xml:space="preserve">          </w:t>
      </w:r>
      <w:r>
        <w:rPr>
          <w:rFonts w:hint="eastAsia" w:ascii="宋体" w:hAnsi="宋体"/>
          <w:b/>
          <w:color w:val="auto"/>
          <w:sz w:val="24"/>
        </w:rPr>
        <w:t>联系电话：</w:t>
      </w:r>
      <w:r>
        <w:rPr>
          <w:rFonts w:hint="eastAsia" w:ascii="宋体" w:hAnsi="宋体" w:cs="宋体"/>
          <w:color w:val="auto"/>
          <w:sz w:val="24"/>
        </w:rPr>
        <w:t>15161955460</w:t>
      </w:r>
    </w:p>
    <w:p>
      <w:pPr>
        <w:rPr>
          <w:rFonts w:ascii="宋体" w:hAnsi="宋体"/>
          <w:color w:val="auto"/>
          <w:sz w:val="22"/>
          <w:szCs w:val="22"/>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7"/>
        <w:rPr>
          <w:color w:val="auto"/>
        </w:rPr>
      </w:pPr>
    </w:p>
    <w:p>
      <w:pPr>
        <w:pStyle w:val="55"/>
        <w:jc w:val="center"/>
        <w:rPr>
          <w:rFonts w:ascii="宋体" w:hAnsi="宋体" w:eastAsia="宋体" w:cs="宋体"/>
          <w:b/>
          <w:bCs/>
          <w:color w:val="auto"/>
          <w:sz w:val="44"/>
          <w:szCs w:val="44"/>
        </w:rPr>
      </w:pPr>
    </w:p>
    <w:p>
      <w:pPr>
        <w:pStyle w:val="55"/>
        <w:jc w:val="center"/>
        <w:rPr>
          <w:rFonts w:ascii="宋体" w:hAnsi="宋体" w:eastAsia="宋体" w:cs="宋体"/>
          <w:b/>
          <w:bCs/>
          <w:color w:val="auto"/>
          <w:sz w:val="44"/>
          <w:szCs w:val="44"/>
        </w:rPr>
      </w:pPr>
    </w:p>
    <w:p>
      <w:pPr>
        <w:pStyle w:val="55"/>
        <w:jc w:val="center"/>
        <w:rPr>
          <w:rFonts w:ascii="宋体" w:hAnsi="宋体" w:eastAsia="宋体" w:cs="宋体"/>
          <w:b/>
          <w:bCs/>
          <w:color w:val="auto"/>
          <w:sz w:val="44"/>
          <w:szCs w:val="44"/>
        </w:rPr>
      </w:pPr>
    </w:p>
    <w:p>
      <w:pPr>
        <w:pStyle w:val="55"/>
        <w:spacing w:line="720" w:lineRule="auto"/>
        <w:jc w:val="center"/>
        <w:rPr>
          <w:rFonts w:ascii="宋体" w:hAnsi="宋体" w:eastAsia="宋体" w:cs="宋体"/>
          <w:b/>
          <w:bCs/>
          <w:color w:val="auto"/>
          <w:sz w:val="44"/>
          <w:szCs w:val="44"/>
        </w:rPr>
      </w:pPr>
      <w:r>
        <w:rPr>
          <w:rFonts w:hint="eastAsia" w:ascii="宋体" w:hAnsi="宋体" w:eastAsia="宋体" w:cs="宋体"/>
          <w:b/>
          <w:bCs/>
          <w:color w:val="auto"/>
          <w:sz w:val="44"/>
          <w:szCs w:val="44"/>
        </w:rPr>
        <w:t>目录</w:t>
      </w:r>
    </w:p>
    <w:sdt>
      <w:sdtPr>
        <w:rPr>
          <w:rFonts w:ascii="宋体" w:hAnsi="宋体" w:eastAsia="仿宋_GB2312" w:cs="仿宋_GB2312"/>
          <w:color w:val="auto"/>
          <w:kern w:val="0"/>
          <w:sz w:val="24"/>
        </w:rPr>
        <w:id w:val="147474521"/>
        <w:docPartObj>
          <w:docPartGallery w:val="Table of Contents"/>
          <w:docPartUnique/>
        </w:docPartObj>
      </w:sdtPr>
      <w:sdtEndPr>
        <w:rPr>
          <w:rFonts w:cs="宋体" w:asciiTheme="minorEastAsia" w:hAnsiTheme="minorEastAsia" w:eastAsiaTheme="minorEastAsia"/>
          <w:color w:val="auto"/>
          <w:kern w:val="0"/>
          <w:sz w:val="32"/>
          <w:szCs w:val="32"/>
        </w:rPr>
      </w:sdtEndPr>
      <w:sdtContent>
        <w:p>
          <w:pPr>
            <w:spacing w:line="720" w:lineRule="auto"/>
            <w:jc w:val="center"/>
            <w:rPr>
              <w:rFonts w:asciiTheme="minorEastAsia" w:hAnsiTheme="minorEastAsia" w:eastAsiaTheme="minorEastAsia"/>
              <w:color w:val="auto"/>
              <w:sz w:val="32"/>
              <w:szCs w:val="32"/>
            </w:rPr>
          </w:pPr>
        </w:p>
        <w:p>
          <w:pPr>
            <w:pStyle w:val="31"/>
            <w:tabs>
              <w:tab w:val="right" w:leader="dot" w:pos="9242"/>
            </w:tabs>
            <w:spacing w:line="720" w:lineRule="auto"/>
            <w:rPr>
              <w:color w:val="auto"/>
              <w:sz w:val="36"/>
              <w:szCs w:val="44"/>
            </w:rPr>
          </w:pPr>
          <w:r>
            <w:rPr>
              <w:rFonts w:cs="宋体" w:asciiTheme="minorEastAsia" w:hAnsiTheme="minorEastAsia" w:eastAsiaTheme="minorEastAsia"/>
              <w:color w:val="auto"/>
              <w:sz w:val="32"/>
              <w:szCs w:val="32"/>
            </w:rPr>
            <w:fldChar w:fldCharType="begin"/>
          </w:r>
          <w:r>
            <w:rPr>
              <w:rFonts w:cs="宋体" w:asciiTheme="minorEastAsia" w:hAnsiTheme="minorEastAsia" w:eastAsiaTheme="minorEastAsia"/>
              <w:color w:val="auto"/>
              <w:sz w:val="32"/>
              <w:szCs w:val="32"/>
            </w:rPr>
            <w:instrText xml:space="preserve">TOC \o "1-1" \h \u </w:instrText>
          </w:r>
          <w:r>
            <w:rPr>
              <w:rFonts w:cs="宋体" w:asciiTheme="minorEastAsia" w:hAnsiTheme="minorEastAsia" w:eastAsiaTheme="minorEastAsia"/>
              <w:color w:val="auto"/>
              <w:sz w:val="32"/>
              <w:szCs w:val="32"/>
            </w:rPr>
            <w:fldChar w:fldCharType="separate"/>
          </w:r>
          <w:r>
            <w:rPr>
              <w:color w:val="auto"/>
            </w:rPr>
            <w:fldChar w:fldCharType="begin"/>
          </w:r>
          <w:r>
            <w:rPr>
              <w:color w:val="auto"/>
            </w:rPr>
            <w:instrText xml:space="preserve"> HYPERLINK \l "_Toc25874" </w:instrText>
          </w:r>
          <w:r>
            <w:rPr>
              <w:color w:val="auto"/>
            </w:rPr>
            <w:fldChar w:fldCharType="separate"/>
          </w:r>
          <w:r>
            <w:rPr>
              <w:rFonts w:hint="eastAsia" w:ascii="宋体" w:hAnsi="宋体" w:cs="宋体"/>
              <w:color w:val="auto"/>
              <w:sz w:val="36"/>
              <w:szCs w:val="44"/>
            </w:rPr>
            <w:t>第一章 招标公告</w:t>
          </w:r>
          <w:r>
            <w:rPr>
              <w:color w:val="auto"/>
              <w:sz w:val="36"/>
              <w:szCs w:val="44"/>
            </w:rPr>
            <w:tab/>
          </w:r>
          <w:r>
            <w:rPr>
              <w:color w:val="auto"/>
              <w:sz w:val="36"/>
              <w:szCs w:val="44"/>
            </w:rPr>
            <w:fldChar w:fldCharType="begin"/>
          </w:r>
          <w:r>
            <w:rPr>
              <w:color w:val="auto"/>
              <w:sz w:val="36"/>
              <w:szCs w:val="44"/>
            </w:rPr>
            <w:instrText xml:space="preserve"> PAGEREF _Toc25874 \h </w:instrText>
          </w:r>
          <w:r>
            <w:rPr>
              <w:color w:val="auto"/>
              <w:sz w:val="36"/>
              <w:szCs w:val="44"/>
            </w:rPr>
            <w:fldChar w:fldCharType="separate"/>
          </w:r>
          <w:r>
            <w:rPr>
              <w:color w:val="auto"/>
              <w:sz w:val="36"/>
              <w:szCs w:val="44"/>
            </w:rPr>
            <w:t>5</w:t>
          </w:r>
          <w:r>
            <w:rPr>
              <w:color w:val="auto"/>
              <w:sz w:val="36"/>
              <w:szCs w:val="44"/>
            </w:rPr>
            <w:fldChar w:fldCharType="end"/>
          </w:r>
          <w:r>
            <w:rPr>
              <w:color w:val="auto"/>
              <w:sz w:val="36"/>
              <w:szCs w:val="44"/>
            </w:rPr>
            <w:fldChar w:fldCharType="end"/>
          </w:r>
        </w:p>
        <w:p>
          <w:pPr>
            <w:pStyle w:val="31"/>
            <w:tabs>
              <w:tab w:val="right" w:leader="dot" w:pos="9242"/>
            </w:tabs>
            <w:spacing w:line="720" w:lineRule="auto"/>
            <w:rPr>
              <w:color w:val="auto"/>
              <w:sz w:val="36"/>
              <w:szCs w:val="44"/>
            </w:rPr>
          </w:pPr>
          <w:r>
            <w:rPr>
              <w:color w:val="auto"/>
            </w:rPr>
            <w:fldChar w:fldCharType="begin"/>
          </w:r>
          <w:r>
            <w:rPr>
              <w:color w:val="auto"/>
            </w:rPr>
            <w:instrText xml:space="preserve"> HYPERLINK \l "_Toc16854" </w:instrText>
          </w:r>
          <w:r>
            <w:rPr>
              <w:color w:val="auto"/>
            </w:rPr>
            <w:fldChar w:fldCharType="separate"/>
          </w:r>
          <w:r>
            <w:rPr>
              <w:rFonts w:hint="eastAsia" w:ascii="宋体" w:hAnsi="宋体"/>
              <w:color w:val="auto"/>
              <w:sz w:val="36"/>
              <w:szCs w:val="96"/>
            </w:rPr>
            <w:t>第二章 投标人须知</w:t>
          </w:r>
          <w:r>
            <w:rPr>
              <w:color w:val="auto"/>
              <w:sz w:val="36"/>
              <w:szCs w:val="44"/>
            </w:rPr>
            <w:tab/>
          </w:r>
          <w:r>
            <w:rPr>
              <w:rFonts w:hint="eastAsia"/>
              <w:color w:val="auto"/>
              <w:sz w:val="36"/>
              <w:szCs w:val="44"/>
            </w:rPr>
            <w:t>8</w:t>
          </w:r>
          <w:r>
            <w:rPr>
              <w:rFonts w:hint="eastAsia"/>
              <w:color w:val="auto"/>
              <w:sz w:val="36"/>
              <w:szCs w:val="44"/>
            </w:rPr>
            <w:fldChar w:fldCharType="end"/>
          </w:r>
        </w:p>
        <w:p>
          <w:pPr>
            <w:pStyle w:val="31"/>
            <w:tabs>
              <w:tab w:val="right" w:leader="dot" w:pos="9242"/>
            </w:tabs>
            <w:spacing w:line="720" w:lineRule="auto"/>
            <w:rPr>
              <w:color w:val="auto"/>
              <w:sz w:val="36"/>
              <w:szCs w:val="44"/>
            </w:rPr>
          </w:pPr>
          <w:r>
            <w:rPr>
              <w:color w:val="auto"/>
            </w:rPr>
            <w:fldChar w:fldCharType="begin"/>
          </w:r>
          <w:r>
            <w:rPr>
              <w:color w:val="auto"/>
            </w:rPr>
            <w:instrText xml:space="preserve"> HYPERLINK \l "_Toc19144" </w:instrText>
          </w:r>
          <w:r>
            <w:rPr>
              <w:color w:val="auto"/>
            </w:rPr>
            <w:fldChar w:fldCharType="separate"/>
          </w:r>
          <w:r>
            <w:rPr>
              <w:rFonts w:hint="eastAsia"/>
              <w:color w:val="auto"/>
              <w:sz w:val="36"/>
              <w:szCs w:val="56"/>
            </w:rPr>
            <w:t>第三章 评标办法（综合评分法）</w:t>
          </w:r>
          <w:r>
            <w:rPr>
              <w:color w:val="auto"/>
              <w:sz w:val="36"/>
              <w:szCs w:val="44"/>
            </w:rPr>
            <w:tab/>
          </w:r>
          <w:r>
            <w:rPr>
              <w:color w:val="auto"/>
              <w:sz w:val="36"/>
              <w:szCs w:val="44"/>
            </w:rPr>
            <w:fldChar w:fldCharType="begin"/>
          </w:r>
          <w:r>
            <w:rPr>
              <w:color w:val="auto"/>
              <w:sz w:val="36"/>
              <w:szCs w:val="44"/>
            </w:rPr>
            <w:instrText xml:space="preserve"> PAGEREF _Toc19144 \h </w:instrText>
          </w:r>
          <w:r>
            <w:rPr>
              <w:color w:val="auto"/>
              <w:sz w:val="36"/>
              <w:szCs w:val="44"/>
            </w:rPr>
            <w:fldChar w:fldCharType="separate"/>
          </w:r>
          <w:r>
            <w:rPr>
              <w:color w:val="auto"/>
              <w:sz w:val="36"/>
              <w:szCs w:val="44"/>
            </w:rPr>
            <w:t>24</w:t>
          </w:r>
          <w:r>
            <w:rPr>
              <w:color w:val="auto"/>
              <w:sz w:val="36"/>
              <w:szCs w:val="44"/>
            </w:rPr>
            <w:fldChar w:fldCharType="end"/>
          </w:r>
          <w:r>
            <w:rPr>
              <w:color w:val="auto"/>
              <w:sz w:val="36"/>
              <w:szCs w:val="44"/>
            </w:rPr>
            <w:fldChar w:fldCharType="end"/>
          </w:r>
        </w:p>
        <w:p>
          <w:pPr>
            <w:pStyle w:val="31"/>
            <w:tabs>
              <w:tab w:val="right" w:leader="dot" w:pos="9242"/>
            </w:tabs>
            <w:spacing w:line="720" w:lineRule="auto"/>
            <w:rPr>
              <w:rFonts w:eastAsiaTheme="minorEastAsia"/>
              <w:color w:val="auto"/>
              <w:sz w:val="36"/>
              <w:szCs w:val="44"/>
            </w:rPr>
          </w:pPr>
          <w:r>
            <w:rPr>
              <w:color w:val="auto"/>
            </w:rPr>
            <w:fldChar w:fldCharType="begin"/>
          </w:r>
          <w:r>
            <w:rPr>
              <w:color w:val="auto"/>
            </w:rPr>
            <w:instrText xml:space="preserve"> HYPERLINK \l "_Toc10982" </w:instrText>
          </w:r>
          <w:r>
            <w:rPr>
              <w:color w:val="auto"/>
            </w:rPr>
            <w:fldChar w:fldCharType="separate"/>
          </w:r>
          <w:r>
            <w:rPr>
              <w:rFonts w:hint="eastAsia"/>
              <w:color w:val="auto"/>
              <w:kern w:val="44"/>
              <w:sz w:val="36"/>
              <w:szCs w:val="56"/>
            </w:rPr>
            <w:t>第四章 合同条款及格式</w:t>
          </w:r>
          <w:r>
            <w:rPr>
              <w:color w:val="auto"/>
              <w:sz w:val="36"/>
              <w:szCs w:val="44"/>
            </w:rPr>
            <w:tab/>
          </w:r>
          <w:r>
            <w:rPr>
              <w:rFonts w:hint="eastAsia"/>
              <w:color w:val="auto"/>
              <w:sz w:val="36"/>
              <w:szCs w:val="44"/>
            </w:rPr>
            <w:t>2</w:t>
          </w:r>
          <w:r>
            <w:rPr>
              <w:rFonts w:hint="eastAsia"/>
              <w:color w:val="auto"/>
              <w:sz w:val="36"/>
              <w:szCs w:val="44"/>
            </w:rPr>
            <w:fldChar w:fldCharType="end"/>
          </w:r>
          <w:r>
            <w:rPr>
              <w:rFonts w:hint="eastAsia" w:cs="宋体" w:asciiTheme="minorEastAsia" w:hAnsiTheme="minorEastAsia" w:eastAsiaTheme="minorEastAsia"/>
              <w:color w:val="auto"/>
              <w:sz w:val="36"/>
              <w:szCs w:val="52"/>
            </w:rPr>
            <w:t>9</w:t>
          </w:r>
        </w:p>
        <w:p>
          <w:pPr>
            <w:pStyle w:val="31"/>
            <w:tabs>
              <w:tab w:val="right" w:leader="dot" w:pos="9242"/>
            </w:tabs>
            <w:spacing w:line="720" w:lineRule="auto"/>
            <w:rPr>
              <w:color w:val="auto"/>
              <w:sz w:val="36"/>
              <w:szCs w:val="44"/>
            </w:rPr>
          </w:pPr>
          <w:r>
            <w:rPr>
              <w:color w:val="auto"/>
            </w:rPr>
            <w:fldChar w:fldCharType="begin"/>
          </w:r>
          <w:r>
            <w:rPr>
              <w:color w:val="auto"/>
            </w:rPr>
            <w:instrText xml:space="preserve"> HYPERLINK \l "_Toc20382" </w:instrText>
          </w:r>
          <w:r>
            <w:rPr>
              <w:color w:val="auto"/>
            </w:rPr>
            <w:fldChar w:fldCharType="separate"/>
          </w:r>
          <w:r>
            <w:rPr>
              <w:rFonts w:hint="eastAsia" w:ascii="宋体" w:hAnsi="宋体" w:cs="宋体"/>
              <w:bCs/>
              <w:color w:val="auto"/>
              <w:kern w:val="44"/>
              <w:sz w:val="36"/>
              <w:szCs w:val="96"/>
            </w:rPr>
            <w:t>第五章 服务需求</w:t>
          </w:r>
          <w:r>
            <w:rPr>
              <w:color w:val="auto"/>
              <w:sz w:val="36"/>
              <w:szCs w:val="44"/>
            </w:rPr>
            <w:tab/>
          </w:r>
          <w:r>
            <w:rPr>
              <w:color w:val="auto"/>
              <w:sz w:val="36"/>
              <w:szCs w:val="44"/>
            </w:rPr>
            <w:fldChar w:fldCharType="begin"/>
          </w:r>
          <w:r>
            <w:rPr>
              <w:color w:val="auto"/>
              <w:sz w:val="36"/>
              <w:szCs w:val="44"/>
            </w:rPr>
            <w:instrText xml:space="preserve"> PAGEREF _Toc20382 \h </w:instrText>
          </w:r>
          <w:r>
            <w:rPr>
              <w:color w:val="auto"/>
              <w:sz w:val="36"/>
              <w:szCs w:val="44"/>
            </w:rPr>
            <w:fldChar w:fldCharType="separate"/>
          </w:r>
          <w:r>
            <w:rPr>
              <w:color w:val="auto"/>
              <w:sz w:val="36"/>
              <w:szCs w:val="44"/>
            </w:rPr>
            <w:t>34</w:t>
          </w:r>
          <w:r>
            <w:rPr>
              <w:color w:val="auto"/>
              <w:sz w:val="36"/>
              <w:szCs w:val="44"/>
            </w:rPr>
            <w:fldChar w:fldCharType="end"/>
          </w:r>
          <w:r>
            <w:rPr>
              <w:color w:val="auto"/>
              <w:sz w:val="36"/>
              <w:szCs w:val="44"/>
            </w:rPr>
            <w:fldChar w:fldCharType="end"/>
          </w:r>
        </w:p>
        <w:p>
          <w:pPr>
            <w:pStyle w:val="31"/>
            <w:tabs>
              <w:tab w:val="right" w:leader="dot" w:pos="9242"/>
            </w:tabs>
            <w:spacing w:line="720" w:lineRule="auto"/>
            <w:rPr>
              <w:rFonts w:eastAsiaTheme="minorEastAsia"/>
              <w:color w:val="auto"/>
            </w:rPr>
          </w:pPr>
          <w:r>
            <w:rPr>
              <w:color w:val="auto"/>
            </w:rPr>
            <w:fldChar w:fldCharType="begin"/>
          </w:r>
          <w:r>
            <w:rPr>
              <w:color w:val="auto"/>
            </w:rPr>
            <w:instrText xml:space="preserve"> HYPERLINK \l "_Toc12398" </w:instrText>
          </w:r>
          <w:r>
            <w:rPr>
              <w:color w:val="auto"/>
            </w:rPr>
            <w:fldChar w:fldCharType="separate"/>
          </w:r>
          <w:r>
            <w:rPr>
              <w:rFonts w:hint="eastAsia" w:ascii="宋体" w:hAnsi="宋体" w:cs="宋体"/>
              <w:color w:val="auto"/>
              <w:sz w:val="36"/>
              <w:szCs w:val="44"/>
            </w:rPr>
            <w:t>第六章 投标文件格式</w:t>
          </w:r>
          <w:r>
            <w:rPr>
              <w:color w:val="auto"/>
              <w:sz w:val="36"/>
              <w:szCs w:val="44"/>
            </w:rPr>
            <w:tab/>
          </w:r>
          <w:r>
            <w:rPr>
              <w:rFonts w:hint="eastAsia"/>
              <w:color w:val="auto"/>
              <w:sz w:val="36"/>
              <w:szCs w:val="44"/>
            </w:rPr>
            <w:t>4</w:t>
          </w:r>
          <w:r>
            <w:rPr>
              <w:rFonts w:hint="eastAsia"/>
              <w:color w:val="auto"/>
              <w:sz w:val="36"/>
              <w:szCs w:val="44"/>
            </w:rPr>
            <w:fldChar w:fldCharType="end"/>
          </w:r>
          <w:r>
            <w:rPr>
              <w:rFonts w:hint="eastAsia" w:cs="宋体" w:asciiTheme="minorEastAsia" w:hAnsiTheme="minorEastAsia" w:eastAsiaTheme="minorEastAsia"/>
              <w:color w:val="auto"/>
              <w:sz w:val="36"/>
              <w:szCs w:val="52"/>
            </w:rPr>
            <w:t>0</w:t>
          </w:r>
        </w:p>
        <w:p>
          <w:pPr>
            <w:pStyle w:val="55"/>
            <w:spacing w:line="720" w:lineRule="auto"/>
            <w:jc w:val="both"/>
            <w:rPr>
              <w:rFonts w:cs="宋体" w:asciiTheme="minorEastAsia" w:hAnsiTheme="minorEastAsia" w:eastAsiaTheme="minorEastAsia"/>
              <w:color w:val="auto"/>
              <w:sz w:val="32"/>
              <w:szCs w:val="32"/>
            </w:rPr>
            <w:sectPr>
              <w:headerReference r:id="rId7" w:type="default"/>
              <w:footerReference r:id="rId8" w:type="default"/>
              <w:pgSz w:w="11906" w:h="16838"/>
              <w:pgMar w:top="1134" w:right="1247" w:bottom="1134" w:left="1417" w:header="851" w:footer="992" w:gutter="0"/>
              <w:cols w:space="720" w:num="1"/>
              <w:docGrid w:type="linesAndChars" w:linePitch="312" w:charSpace="0"/>
            </w:sectPr>
          </w:pPr>
          <w:r>
            <w:rPr>
              <w:rFonts w:cs="宋体" w:asciiTheme="minorEastAsia" w:hAnsiTheme="minorEastAsia" w:eastAsiaTheme="minorEastAsia"/>
              <w:color w:val="auto"/>
              <w:szCs w:val="32"/>
            </w:rPr>
            <w:fldChar w:fldCharType="end"/>
          </w:r>
        </w:p>
      </w:sdtContent>
    </w:sdt>
    <w:p>
      <w:pPr>
        <w:pStyle w:val="3"/>
        <w:spacing w:line="480" w:lineRule="auto"/>
        <w:rPr>
          <w:rFonts w:ascii="宋体" w:hAnsi="宋体" w:cs="宋体"/>
          <w:color w:val="auto"/>
        </w:rPr>
      </w:pPr>
      <w:bookmarkStart w:id="3" w:name="_Toc25874"/>
      <w:bookmarkStart w:id="4" w:name="_Hlk89962867"/>
      <w:r>
        <w:rPr>
          <w:rFonts w:hint="eastAsia" w:ascii="宋体" w:hAnsi="宋体" w:cs="宋体"/>
          <w:color w:val="auto"/>
        </w:rPr>
        <w:t xml:space="preserve">第一章 </w:t>
      </w:r>
      <w:bookmarkStart w:id="5" w:name="OLE_LINK1"/>
      <w:r>
        <w:rPr>
          <w:rFonts w:hint="eastAsia" w:ascii="宋体" w:hAnsi="宋体" w:cs="宋体"/>
          <w:color w:val="auto"/>
        </w:rPr>
        <w:t>招标公告</w:t>
      </w:r>
      <w:bookmarkEnd w:id="0"/>
      <w:bookmarkEnd w:id="3"/>
    </w:p>
    <w:bookmarkEnd w:id="1"/>
    <w:bookmarkEnd w:id="2"/>
    <w:bookmarkEnd w:id="5"/>
    <w:p>
      <w:pPr>
        <w:keepNext w:val="0"/>
        <w:keepLines w:val="0"/>
        <w:pageBreakBefore w:val="0"/>
        <w:kinsoku/>
        <w:wordWrap w:val="0"/>
        <w:overflowPunct/>
        <w:topLinePunct w:val="0"/>
        <w:autoSpaceDE/>
        <w:autoSpaceDN/>
        <w:bidi w:val="0"/>
        <w:adjustRightInd/>
        <w:snapToGrid/>
        <w:spacing w:line="480" w:lineRule="exact"/>
        <w:ind w:firstLine="480" w:firstLineChars="200"/>
        <w:textAlignment w:val="auto"/>
        <w:rPr>
          <w:rFonts w:cs="宋体" w:asciiTheme="minorEastAsia" w:hAnsiTheme="minorEastAsia" w:eastAsiaTheme="minorEastAsia"/>
          <w:color w:val="auto"/>
          <w:sz w:val="24"/>
        </w:rPr>
      </w:pPr>
      <w:bookmarkStart w:id="6" w:name="_Toc368759512"/>
      <w:bookmarkStart w:id="7" w:name="_Toc6770"/>
      <w:bookmarkStart w:id="8" w:name="_Toc184635069"/>
      <w:bookmarkStart w:id="9" w:name="_Toc387526281"/>
      <w:bookmarkStart w:id="10" w:name="_Toc363326679"/>
      <w:bookmarkStart w:id="11" w:name="_Toc387526177"/>
      <w:bookmarkStart w:id="12" w:name="_Toc397928547"/>
      <w:bookmarkStart w:id="13" w:name="_Toc369077558"/>
      <w:bookmarkStart w:id="14" w:name="_Toc387526373"/>
      <w:r>
        <w:rPr>
          <w:rFonts w:hint="eastAsia" w:cs="宋体" w:asciiTheme="minorEastAsia" w:hAnsiTheme="minorEastAsia" w:eastAsiaTheme="minorEastAsia"/>
          <w:color w:val="auto"/>
          <w:sz w:val="24"/>
          <w:lang w:val="zh-CN"/>
        </w:rPr>
        <w:t>项目概况</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盐城市大丰区自然资源信息化监管平台（鹰眼系统）服务项目</w:t>
      </w:r>
      <w:r>
        <w:rPr>
          <w:rFonts w:hint="eastAsia" w:cs="宋体" w:asciiTheme="minorEastAsia" w:hAnsiTheme="minorEastAsia" w:eastAsiaTheme="minorEastAsia"/>
          <w:color w:val="auto"/>
          <w:sz w:val="24"/>
          <w:lang w:bidi="zh-CN"/>
        </w:rPr>
        <w:t>招标项目</w:t>
      </w:r>
      <w:r>
        <w:rPr>
          <w:rFonts w:hint="eastAsia" w:cs="宋体" w:asciiTheme="minorEastAsia" w:hAnsiTheme="minorEastAsia" w:eastAsiaTheme="minorEastAsia"/>
          <w:color w:val="auto"/>
          <w:sz w:val="24"/>
          <w:lang w:val="zh-CN" w:bidi="zh-CN"/>
        </w:rPr>
        <w:t>的潜在投标人应在</w:t>
      </w:r>
      <w:r>
        <w:rPr>
          <w:rFonts w:hint="eastAsia" w:cs="宋体" w:asciiTheme="minorEastAsia" w:hAnsiTheme="minorEastAsia" w:eastAsiaTheme="minorEastAsia"/>
          <w:color w:val="auto"/>
          <w:sz w:val="24"/>
          <w:u w:val="single"/>
          <w:lang w:val="zh-CN" w:bidi="zh-CN"/>
        </w:rPr>
        <w:t>大丰公共资源电子交易平台</w:t>
      </w:r>
      <w:r>
        <w:rPr>
          <w:rFonts w:hint="eastAsia" w:cs="宋体" w:asciiTheme="minorEastAsia" w:hAnsiTheme="minorEastAsia" w:eastAsiaTheme="minorEastAsia"/>
          <w:color w:val="auto"/>
          <w:sz w:val="24"/>
          <w:u w:val="single"/>
          <w:lang w:bidi="zh-CN"/>
        </w:rPr>
        <w:t>（http://ggzy.dafeng.gov.cn/dfweb/default.aspx）</w:t>
      </w:r>
      <w:r>
        <w:rPr>
          <w:rFonts w:hint="eastAsia" w:cs="宋体" w:asciiTheme="minorEastAsia" w:hAnsiTheme="minorEastAsia" w:eastAsiaTheme="minorEastAsia"/>
          <w:color w:val="auto"/>
          <w:sz w:val="24"/>
          <w:lang w:val="zh-CN" w:bidi="zh-CN"/>
        </w:rPr>
        <w:t>获取招标文件</w:t>
      </w:r>
      <w:r>
        <w:rPr>
          <w:rFonts w:hint="eastAsia" w:cs="宋体" w:asciiTheme="minorEastAsia" w:hAnsiTheme="minorEastAsia" w:eastAsiaTheme="minorEastAsia"/>
          <w:color w:val="auto"/>
          <w:sz w:val="24"/>
          <w:lang w:bidi="zh-CN"/>
        </w:rPr>
        <w:t>，</w:t>
      </w:r>
      <w:r>
        <w:rPr>
          <w:rFonts w:hint="eastAsia" w:cs="宋体" w:asciiTheme="minorEastAsia" w:hAnsiTheme="minorEastAsia" w:eastAsiaTheme="minorEastAsia"/>
          <w:color w:val="auto"/>
          <w:sz w:val="24"/>
          <w:lang w:val="zh-CN" w:bidi="zh-CN"/>
        </w:rPr>
        <w:t>并于</w:t>
      </w:r>
      <w:r>
        <w:rPr>
          <w:rFonts w:hint="eastAsia" w:cs="宋体" w:asciiTheme="minorEastAsia" w:hAnsiTheme="minorEastAsia" w:eastAsiaTheme="minorEastAsia"/>
          <w:color w:val="auto"/>
          <w:sz w:val="24"/>
          <w:u w:val="single"/>
          <w:lang w:bidi="zh-CN"/>
        </w:rPr>
        <w:t>2022</w:t>
      </w:r>
      <w:r>
        <w:rPr>
          <w:rFonts w:hint="eastAsia" w:cs="宋体" w:asciiTheme="minorEastAsia" w:hAnsiTheme="minorEastAsia" w:eastAsiaTheme="minorEastAsia"/>
          <w:color w:val="auto"/>
          <w:sz w:val="24"/>
          <w:u w:val="single"/>
          <w:lang w:val="zh-CN" w:bidi="zh-CN"/>
        </w:rPr>
        <w:t>年</w:t>
      </w:r>
      <w:r>
        <w:rPr>
          <w:rFonts w:hint="eastAsia" w:cs="宋体" w:asciiTheme="minorEastAsia" w:hAnsiTheme="minorEastAsia" w:eastAsiaTheme="minorEastAsia"/>
          <w:color w:val="auto"/>
          <w:sz w:val="24"/>
          <w:u w:val="single"/>
          <w:lang w:bidi="zh-CN"/>
        </w:rPr>
        <w:t xml:space="preserve"> </w:t>
      </w:r>
      <w:r>
        <w:rPr>
          <w:rFonts w:hint="eastAsia" w:cs="宋体" w:asciiTheme="minorEastAsia" w:hAnsiTheme="minorEastAsia" w:eastAsiaTheme="minorEastAsia"/>
          <w:color w:val="auto"/>
          <w:sz w:val="24"/>
          <w:u w:val="single"/>
          <w:lang w:val="en-US" w:bidi="zh-CN"/>
        </w:rPr>
        <w:t>2</w:t>
      </w:r>
      <w:r>
        <w:rPr>
          <w:rFonts w:hint="eastAsia" w:cs="宋体" w:asciiTheme="minorEastAsia" w:hAnsiTheme="minorEastAsia" w:eastAsiaTheme="minorEastAsia"/>
          <w:color w:val="auto"/>
          <w:sz w:val="24"/>
          <w:u w:val="single"/>
          <w:lang w:bidi="zh-CN"/>
        </w:rPr>
        <w:t xml:space="preserve"> </w:t>
      </w:r>
      <w:r>
        <w:rPr>
          <w:rFonts w:hint="eastAsia" w:cs="宋体" w:asciiTheme="minorEastAsia" w:hAnsiTheme="minorEastAsia" w:eastAsiaTheme="minorEastAsia"/>
          <w:color w:val="auto"/>
          <w:sz w:val="24"/>
          <w:u w:val="single"/>
          <w:lang w:val="zh-CN" w:bidi="zh-CN"/>
        </w:rPr>
        <w:t>月</w:t>
      </w:r>
      <w:r>
        <w:rPr>
          <w:rFonts w:hint="eastAsia" w:cs="宋体" w:asciiTheme="minorEastAsia" w:hAnsiTheme="minorEastAsia" w:eastAsiaTheme="minorEastAsia"/>
          <w:color w:val="auto"/>
          <w:sz w:val="24"/>
          <w:u w:val="single"/>
          <w:lang w:val="en-US" w:bidi="zh-CN"/>
        </w:rPr>
        <w:t>17</w:t>
      </w:r>
      <w:r>
        <w:rPr>
          <w:rFonts w:hint="eastAsia" w:cs="宋体" w:asciiTheme="minorEastAsia" w:hAnsiTheme="minorEastAsia" w:eastAsiaTheme="minorEastAsia"/>
          <w:color w:val="auto"/>
          <w:sz w:val="24"/>
          <w:u w:val="single"/>
          <w:lang w:bidi="zh-CN"/>
        </w:rPr>
        <w:t>日</w:t>
      </w:r>
      <w:r>
        <w:rPr>
          <w:rFonts w:hint="eastAsia" w:cs="宋体" w:asciiTheme="minorEastAsia" w:hAnsiTheme="minorEastAsia" w:eastAsiaTheme="minorEastAsia"/>
          <w:color w:val="auto"/>
          <w:sz w:val="24"/>
          <w:u w:val="single"/>
          <w:lang w:val="en-US" w:bidi="zh-CN"/>
        </w:rPr>
        <w:t>10</w:t>
      </w:r>
      <w:r>
        <w:rPr>
          <w:rFonts w:hint="eastAsia" w:cs="宋体" w:asciiTheme="minorEastAsia" w:hAnsiTheme="minorEastAsia" w:eastAsiaTheme="minorEastAsia"/>
          <w:color w:val="auto"/>
          <w:sz w:val="24"/>
          <w:u w:val="single"/>
          <w:lang w:val="zh-CN" w:bidi="zh-CN"/>
        </w:rPr>
        <w:t>时</w:t>
      </w:r>
      <w:r>
        <w:rPr>
          <w:rFonts w:hint="eastAsia" w:cs="宋体" w:asciiTheme="minorEastAsia" w:hAnsiTheme="minorEastAsia" w:eastAsiaTheme="minorEastAsia"/>
          <w:color w:val="auto"/>
          <w:sz w:val="24"/>
          <w:u w:val="single"/>
          <w:lang w:val="en-US" w:bidi="zh-CN"/>
        </w:rPr>
        <w:t>00</w:t>
      </w:r>
      <w:r>
        <w:rPr>
          <w:rFonts w:hint="eastAsia" w:cs="宋体" w:asciiTheme="minorEastAsia" w:hAnsiTheme="minorEastAsia" w:eastAsiaTheme="minorEastAsia"/>
          <w:color w:val="auto"/>
          <w:sz w:val="24"/>
          <w:u w:val="single"/>
          <w:lang w:val="zh-CN" w:bidi="zh-CN"/>
        </w:rPr>
        <w:t>分</w:t>
      </w:r>
      <w:r>
        <w:rPr>
          <w:rFonts w:hint="eastAsia" w:cs="宋体" w:asciiTheme="minorEastAsia" w:hAnsiTheme="minorEastAsia" w:eastAsiaTheme="minorEastAsia"/>
          <w:color w:val="auto"/>
          <w:sz w:val="24"/>
          <w:lang w:bidi="zh-CN"/>
        </w:rPr>
        <w:t>（</w:t>
      </w:r>
      <w:r>
        <w:rPr>
          <w:rFonts w:hint="eastAsia" w:cs="宋体" w:asciiTheme="minorEastAsia" w:hAnsiTheme="minorEastAsia" w:eastAsiaTheme="minorEastAsia"/>
          <w:color w:val="auto"/>
          <w:sz w:val="24"/>
          <w:lang w:val="zh-CN" w:bidi="zh-CN"/>
        </w:rPr>
        <w:t>北京时间</w:t>
      </w:r>
      <w:r>
        <w:rPr>
          <w:rFonts w:hint="eastAsia" w:cs="宋体" w:asciiTheme="minorEastAsia" w:hAnsiTheme="minorEastAsia" w:eastAsiaTheme="minorEastAsia"/>
          <w:color w:val="auto"/>
          <w:sz w:val="24"/>
          <w:lang w:bidi="zh-CN"/>
        </w:rPr>
        <w:t>）</w:t>
      </w:r>
      <w:r>
        <w:rPr>
          <w:rFonts w:hint="eastAsia" w:cs="宋体" w:asciiTheme="minorEastAsia" w:hAnsiTheme="minorEastAsia" w:eastAsiaTheme="minorEastAsia"/>
          <w:color w:val="auto"/>
          <w:sz w:val="24"/>
          <w:lang w:val="zh-CN" w:bidi="zh-CN"/>
        </w:rPr>
        <w:t>前递交投标文件。</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sz w:val="24"/>
        </w:rPr>
      </w:pPr>
      <w:r>
        <w:rPr>
          <w:rStyle w:val="48"/>
          <w:rFonts w:hint="eastAsia" w:cs="宋体" w:asciiTheme="minorEastAsia" w:hAnsiTheme="minorEastAsia" w:eastAsiaTheme="minorEastAsia"/>
          <w:color w:val="auto"/>
          <w:kern w:val="0"/>
          <w:sz w:val="24"/>
          <w:shd w:val="clear" w:color="auto" w:fill="FFFFFF"/>
        </w:rPr>
        <w:t>一、项目基本情况</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u w:val="single"/>
          <w:shd w:val="clear" w:color="auto" w:fill="FFFFFF"/>
        </w:rPr>
      </w:pPr>
      <w:r>
        <w:rPr>
          <w:rFonts w:hint="eastAsia" w:cs="宋体" w:asciiTheme="minorEastAsia" w:hAnsiTheme="minorEastAsia" w:eastAsiaTheme="minorEastAsia"/>
          <w:color w:val="auto"/>
          <w:kern w:val="0"/>
          <w:sz w:val="24"/>
          <w:shd w:val="clear" w:color="auto" w:fill="FFFFFF"/>
        </w:rPr>
        <w:t>1、项目编号：</w:t>
      </w:r>
      <w:r>
        <w:rPr>
          <w:rFonts w:hint="eastAsia" w:cs="宋体" w:asciiTheme="minorEastAsia" w:hAnsiTheme="minorEastAsia" w:eastAsiaTheme="minorEastAsia"/>
          <w:color w:val="auto"/>
          <w:kern w:val="0"/>
          <w:sz w:val="24"/>
          <w:u w:val="single"/>
          <w:shd w:val="clear" w:color="auto" w:fill="FFFFFF"/>
        </w:rPr>
        <w:t>DFCG20220010</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2、项目名称：</w:t>
      </w:r>
      <w:r>
        <w:rPr>
          <w:rFonts w:hint="eastAsia" w:cs="宋体" w:asciiTheme="minorEastAsia" w:hAnsiTheme="minorEastAsia" w:eastAsiaTheme="minorEastAsia"/>
          <w:color w:val="auto"/>
          <w:kern w:val="0"/>
          <w:sz w:val="24"/>
          <w:u w:val="single"/>
          <w:shd w:val="clear" w:color="auto" w:fill="FFFFFF"/>
        </w:rPr>
        <w:t>盐城市大丰区自然资源信息化监管平台（鹰眼系统）服务项目</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textAlignment w:val="auto"/>
        <w:rPr>
          <w:rFonts w:cs="宋体" w:asciiTheme="minorEastAsia" w:hAnsiTheme="minorEastAsia" w:eastAsiaTheme="minorEastAsia"/>
          <w:color w:val="auto"/>
          <w:kern w:val="0"/>
          <w:sz w:val="24"/>
          <w:u w:val="single"/>
          <w:shd w:val="clear" w:color="auto" w:fill="FFFFFF"/>
          <w:lang w:bidi="zh-CN"/>
        </w:rPr>
      </w:pPr>
      <w:r>
        <w:rPr>
          <w:rFonts w:hint="eastAsia" w:cs="宋体" w:asciiTheme="minorEastAsia" w:hAnsiTheme="minorEastAsia" w:eastAsiaTheme="minorEastAsia"/>
          <w:color w:val="auto"/>
          <w:kern w:val="0"/>
          <w:sz w:val="24"/>
          <w:shd w:val="clear" w:color="auto" w:fill="FFFFFF"/>
        </w:rPr>
        <w:t>3、采购预算：</w:t>
      </w:r>
      <w:r>
        <w:rPr>
          <w:rFonts w:hint="eastAsia" w:cs="宋体" w:asciiTheme="minorEastAsia" w:hAnsiTheme="minorEastAsia" w:eastAsiaTheme="minorEastAsia"/>
          <w:color w:val="auto"/>
          <w:kern w:val="0"/>
          <w:sz w:val="24"/>
          <w:u w:val="single"/>
          <w:shd w:val="clear" w:color="auto" w:fill="FFFFFF"/>
          <w:lang w:bidi="zh-CN"/>
        </w:rPr>
        <w:t>86万元</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4、最高限价：</w:t>
      </w:r>
      <w:r>
        <w:rPr>
          <w:rFonts w:hint="eastAsia" w:cs="宋体" w:asciiTheme="minorEastAsia" w:hAnsiTheme="minorEastAsia" w:eastAsiaTheme="minorEastAsia"/>
          <w:color w:val="auto"/>
          <w:kern w:val="0"/>
          <w:sz w:val="24"/>
          <w:u w:val="single"/>
          <w:shd w:val="clear" w:color="auto" w:fill="FFFFFF"/>
        </w:rPr>
        <w:t>86万元</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5、服务需求：</w:t>
      </w:r>
      <w:r>
        <w:rPr>
          <w:rFonts w:hint="eastAsia" w:cs="宋体" w:asciiTheme="minorEastAsia" w:hAnsiTheme="minorEastAsia" w:eastAsiaTheme="minorEastAsia"/>
          <w:color w:val="auto"/>
          <w:kern w:val="0"/>
          <w:sz w:val="24"/>
          <w:u w:val="single"/>
          <w:shd w:val="clear" w:color="auto" w:fill="FFFFFF"/>
        </w:rPr>
        <w:t>“自然资源信息化监管平台” 通过采用40米高度以上高空视频监控技术，实现全区大范围广域、实时监控。招标人前期</w:t>
      </w:r>
      <w:r>
        <w:rPr>
          <w:rFonts w:hint="eastAsia" w:cs="宋体" w:asciiTheme="minorEastAsia" w:hAnsiTheme="minorEastAsia" w:eastAsiaTheme="minorEastAsia"/>
          <w:color w:val="auto"/>
          <w:kern w:val="0"/>
          <w:sz w:val="24"/>
          <w:u w:val="single"/>
          <w:shd w:val="clear" w:color="auto" w:fill="FFFFFF"/>
          <w:lang w:val="en-US" w:eastAsia="zh-CN"/>
        </w:rPr>
        <w:t>已完成对</w:t>
      </w:r>
      <w:r>
        <w:rPr>
          <w:rFonts w:hint="eastAsia" w:cs="宋体" w:asciiTheme="minorEastAsia" w:hAnsiTheme="minorEastAsia" w:eastAsiaTheme="minorEastAsia"/>
          <w:color w:val="auto"/>
          <w:kern w:val="0"/>
          <w:sz w:val="24"/>
          <w:u w:val="single"/>
          <w:shd w:val="clear" w:color="auto" w:fill="FFFFFF"/>
        </w:rPr>
        <w:t>179个高空监控点位</w:t>
      </w:r>
      <w:r>
        <w:rPr>
          <w:rFonts w:hint="eastAsia" w:cs="宋体" w:asciiTheme="minorEastAsia" w:hAnsiTheme="minorEastAsia" w:eastAsiaTheme="minorEastAsia"/>
          <w:color w:val="auto"/>
          <w:kern w:val="0"/>
          <w:sz w:val="24"/>
          <w:u w:val="single"/>
          <w:shd w:val="clear" w:color="auto" w:fill="FFFFFF"/>
          <w:lang w:val="en-US" w:eastAsia="zh-CN"/>
        </w:rPr>
        <w:t>的安装</w:t>
      </w:r>
      <w:r>
        <w:rPr>
          <w:rFonts w:hint="eastAsia" w:cs="宋体" w:asciiTheme="minorEastAsia" w:hAnsiTheme="minorEastAsia" w:eastAsiaTheme="minorEastAsia"/>
          <w:color w:val="auto"/>
          <w:kern w:val="0"/>
          <w:sz w:val="24"/>
          <w:u w:val="single"/>
          <w:shd w:val="clear" w:color="auto" w:fill="FFFFFF"/>
        </w:rPr>
        <w:t>，</w:t>
      </w:r>
      <w:r>
        <w:rPr>
          <w:rFonts w:hint="eastAsia" w:cs="宋体" w:asciiTheme="minorEastAsia" w:hAnsiTheme="minorEastAsia" w:eastAsiaTheme="minorEastAsia"/>
          <w:color w:val="auto"/>
          <w:kern w:val="0"/>
          <w:sz w:val="24"/>
          <w:u w:val="single"/>
          <w:shd w:val="clear" w:color="auto" w:fill="FFFFFF"/>
          <w:lang w:val="en-US" w:eastAsia="zh-CN"/>
        </w:rPr>
        <w:t>现</w:t>
      </w:r>
      <w:r>
        <w:rPr>
          <w:rFonts w:hint="eastAsia" w:cs="宋体" w:asciiTheme="minorEastAsia" w:hAnsiTheme="minorEastAsia" w:eastAsiaTheme="minorEastAsia"/>
          <w:color w:val="auto"/>
          <w:kern w:val="0"/>
          <w:sz w:val="24"/>
          <w:u w:val="single"/>
          <w:shd w:val="clear" w:color="auto" w:fill="FFFFFF"/>
        </w:rPr>
        <w:t>利用有线光纤网络，将分散、独立的图像采集点进行联网，实现跨地域、全范围内的统一监控、统一管理、分布式存储、资源共享。让管理者通过监控中心或者移动终端能随时掌握监控区域状况，实现预防性管理</w:t>
      </w:r>
      <w:r>
        <w:rPr>
          <w:rFonts w:hint="eastAsia" w:cs="宋体" w:asciiTheme="minorEastAsia" w:hAnsiTheme="minorEastAsia" w:eastAsiaTheme="minorEastAsia"/>
          <w:color w:val="auto"/>
          <w:kern w:val="0"/>
          <w:sz w:val="24"/>
          <w:u w:val="single"/>
          <w:shd w:val="clear" w:color="auto" w:fill="FFFFFF"/>
          <w:lang w:eastAsia="zh-CN"/>
        </w:rPr>
        <w:t>。</w:t>
      </w:r>
      <w:r>
        <w:rPr>
          <w:rFonts w:hint="eastAsia" w:cs="宋体" w:asciiTheme="minorEastAsia" w:hAnsiTheme="minorEastAsia" w:eastAsiaTheme="minorEastAsia"/>
          <w:color w:val="auto"/>
          <w:kern w:val="0"/>
          <w:sz w:val="24"/>
          <w:u w:val="single"/>
          <w:shd w:val="clear" w:color="auto" w:fill="FFFFFF"/>
        </w:rPr>
        <w:t>具体详见本项目招标文件服务需求。</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6、质量标准：</w:t>
      </w:r>
      <w:r>
        <w:rPr>
          <w:rFonts w:hint="eastAsia" w:cs="宋体" w:asciiTheme="minorEastAsia" w:hAnsiTheme="minorEastAsia" w:eastAsiaTheme="minorEastAsia"/>
          <w:color w:val="auto"/>
          <w:kern w:val="0"/>
          <w:sz w:val="24"/>
          <w:u w:val="single"/>
          <w:shd w:val="clear" w:color="auto" w:fill="FFFFFF"/>
        </w:rPr>
        <w:t>合格</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u w:val="single"/>
          <w:shd w:val="clear" w:color="auto" w:fill="FFFFFF"/>
        </w:rPr>
      </w:pPr>
      <w:r>
        <w:rPr>
          <w:rFonts w:hint="eastAsia" w:cs="宋体" w:asciiTheme="minorEastAsia" w:hAnsiTheme="minorEastAsia" w:eastAsiaTheme="minorEastAsia"/>
          <w:color w:val="auto"/>
          <w:kern w:val="0"/>
          <w:sz w:val="24"/>
          <w:shd w:val="clear" w:color="auto" w:fill="FFFFFF"/>
        </w:rPr>
        <w:t>7、合同履行期限：</w:t>
      </w:r>
      <w:r>
        <w:rPr>
          <w:rFonts w:hint="eastAsia" w:cs="宋体" w:asciiTheme="minorEastAsia" w:hAnsiTheme="minorEastAsia" w:eastAsiaTheme="minorEastAsia"/>
          <w:color w:val="auto"/>
          <w:kern w:val="0"/>
          <w:sz w:val="24"/>
          <w:u w:val="single"/>
          <w:shd w:val="clear" w:color="auto" w:fill="FFFFFF"/>
        </w:rPr>
        <w:t>合同签订后30日历天内完成系统平台建设并交付招标人使用</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8、服务期：</w:t>
      </w:r>
      <w:r>
        <w:rPr>
          <w:rFonts w:hint="eastAsia" w:cs="宋体" w:asciiTheme="minorEastAsia" w:hAnsiTheme="minorEastAsia" w:eastAsiaTheme="minorEastAsia"/>
          <w:color w:val="auto"/>
          <w:kern w:val="0"/>
          <w:sz w:val="24"/>
          <w:u w:val="single"/>
          <w:shd w:val="clear" w:color="auto" w:fill="FFFFFF"/>
        </w:rPr>
        <w:t>一年</w:t>
      </w:r>
      <w:r>
        <w:rPr>
          <w:rFonts w:hint="eastAsia" w:cs="宋体" w:asciiTheme="minorEastAsia" w:hAnsiTheme="minorEastAsia" w:eastAsiaTheme="minorEastAsia"/>
          <w:color w:val="auto"/>
          <w:kern w:val="0"/>
          <w:sz w:val="24"/>
          <w:shd w:val="clear" w:color="auto" w:fill="FFFFFF"/>
        </w:rPr>
        <w:t xml:space="preserve">                         </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sz w:val="24"/>
        </w:rPr>
      </w:pPr>
      <w:r>
        <w:rPr>
          <w:rStyle w:val="48"/>
          <w:rFonts w:hint="eastAsia" w:cs="宋体" w:asciiTheme="minorEastAsia" w:hAnsiTheme="minorEastAsia" w:eastAsiaTheme="minorEastAsia"/>
          <w:color w:val="auto"/>
          <w:kern w:val="0"/>
          <w:sz w:val="24"/>
          <w:shd w:val="clear" w:color="auto" w:fill="FFFFFF"/>
        </w:rPr>
        <w:t>二、申请人的资格要求：</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1、投标人须满足以下规定：</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（1）投标人应具备《中华人民共和国政府采购法》第二十二条规定的条件（投标时提供书面声明，声明格式自拟）。</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（2）投标申请人须具有行政主管部门核发的营业执照，近三年内没有严重违约和重大质量问题，未处于被责令停业、财产被接管、冻结、破产等状态，未被有关部门暂停投标资格并在暂停期内的；</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（3）在中华人民共和国境内注册，具有中华人民共和国工业和信息化部颁发的中华人民共和国基础电信业务经营许可证的运营商或其分（支）公司；</w:t>
      </w:r>
    </w:p>
    <w:p>
      <w:pPr>
        <w:keepNext w:val="0"/>
        <w:keepLines w:val="0"/>
        <w:pageBreakBefore w:val="0"/>
        <w:widowControl/>
        <w:shd w:val="clear" w:color="auto" w:fill="FFFFFF"/>
        <w:kinsoku/>
        <w:overflowPunct/>
        <w:topLinePunct w:val="0"/>
        <w:autoSpaceDE/>
        <w:autoSpaceDN/>
        <w:bidi w:val="0"/>
        <w:adjustRightInd/>
        <w:snapToGrid/>
        <w:spacing w:line="480" w:lineRule="exact"/>
        <w:ind w:firstLine="480"/>
        <w:jc w:val="left"/>
        <w:textAlignment w:val="auto"/>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（4）被"信用中国"网站（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asciiTheme="minorEastAsia" w:hAnsiTheme="minorEastAsia" w:eastAsiaTheme="minorEastAsia"/>
          <w:color w:val="auto"/>
          <w:kern w:val="0"/>
          <w:sz w:val="24"/>
          <w:shd w:val="clear" w:color="auto" w:fill="FFFFFF"/>
        </w:rPr>
        <w:t>www.creditchina.gov.cn</w:t>
      </w:r>
      <w:r>
        <w:rPr>
          <w:rFonts w:hint="eastAsia" w:cs="宋体" w:asciiTheme="minorEastAsia" w:hAnsiTheme="minorEastAsia" w:eastAsiaTheme="minorEastAsia"/>
          <w:color w:val="auto"/>
          <w:kern w:val="0"/>
          <w:sz w:val="24"/>
          <w:shd w:val="clear" w:color="auto" w:fill="FFFFFF"/>
        </w:rPr>
        <w:fldChar w:fldCharType="end"/>
      </w:r>
      <w:r>
        <w:rPr>
          <w:rFonts w:hint="eastAsia" w:cs="宋体" w:asciiTheme="minorEastAsia" w:hAnsiTheme="minorEastAsia" w:eastAsiaTheme="minorEastAsia"/>
          <w:color w:val="auto"/>
          <w:kern w:val="0"/>
          <w:sz w:val="24"/>
          <w:shd w:val="clear" w:color="auto" w:fill="FFFFFF"/>
        </w:rPr>
        <w:t>）、"中国政府采购网"(www.ccgp.gov.cn) 等网站列入失信被执行人、重大税收违法案件当事人名单、政府采购严重违法失信行为记录名单的不得参加本项目采购活动；</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（5）单位负责人为同一人或者存在直接控股、管理关系的不同供应商，不得参加同一合同项下的政府采购活动；</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（6）本项目不接收联合体投标</w:t>
      </w:r>
    </w:p>
    <w:p>
      <w:pPr>
        <w:widowControl/>
        <w:shd w:val="clear" w:color="auto" w:fill="FFFFFF"/>
        <w:spacing w:line="360" w:lineRule="auto"/>
        <w:ind w:firstLine="240" w:firstLineChars="100"/>
        <w:jc w:val="left"/>
        <w:rPr>
          <w:rFonts w:cs="宋体" w:asciiTheme="minorEastAsia" w:hAnsiTheme="minorEastAsia" w:eastAsiaTheme="minorEastAsia"/>
          <w:color w:val="auto"/>
          <w:sz w:val="24"/>
        </w:rPr>
      </w:pPr>
      <w:r>
        <w:rPr>
          <w:rStyle w:val="48"/>
          <w:rFonts w:hint="eastAsia" w:cs="宋体" w:asciiTheme="minorEastAsia" w:hAnsiTheme="minorEastAsia" w:eastAsiaTheme="minorEastAsia"/>
          <w:color w:val="auto"/>
          <w:kern w:val="0"/>
          <w:sz w:val="24"/>
          <w:shd w:val="clear" w:color="auto" w:fill="FFFFFF"/>
        </w:rPr>
        <w:t>三、获取招标文件</w:t>
      </w:r>
    </w:p>
    <w:p>
      <w:pPr>
        <w:widowControl/>
        <w:shd w:val="clear" w:color="auto" w:fill="FFFFFF"/>
        <w:spacing w:line="360" w:lineRule="auto"/>
        <w:ind w:firstLine="48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shd w:val="clear" w:color="auto" w:fill="FFFFFF"/>
        </w:rPr>
        <w:t>1、时间：2022年</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u w:val="single"/>
          <w:shd w:val="clear" w:color="auto" w:fill="FFFFFF"/>
          <w:lang w:val="en-US" w:eastAsia="zh-CN"/>
        </w:rPr>
        <w:t>1</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shd w:val="clear" w:color="auto" w:fill="FFFFFF"/>
        </w:rPr>
        <w:t>月</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u w:val="single"/>
          <w:shd w:val="clear" w:color="auto" w:fill="FFFFFF"/>
          <w:lang w:val="en-US" w:eastAsia="zh-CN"/>
        </w:rPr>
        <w:t>20</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shd w:val="clear" w:color="auto" w:fill="FFFFFF"/>
        </w:rPr>
        <w:t>日至2022年</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u w:val="single"/>
          <w:shd w:val="clear" w:color="auto" w:fill="FFFFFF"/>
          <w:lang w:val="en-US" w:eastAsia="zh-CN"/>
        </w:rPr>
        <w:t>1</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shd w:val="clear" w:color="auto" w:fill="FFFFFF"/>
        </w:rPr>
        <w:t>月</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u w:val="single"/>
          <w:shd w:val="clear" w:color="auto" w:fill="FFFFFF"/>
          <w:lang w:val="en-US" w:eastAsia="zh-CN"/>
        </w:rPr>
        <w:t>27</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shd w:val="clear" w:color="auto" w:fill="FFFFFF"/>
        </w:rPr>
        <w:t>日（北京时间，法定节假日除外）。</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2、招标文件获取方式：各潜在投标人（供应商）采用网上方式报名及下载招标文件，具体步骤如下：</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（1）各潜在投标人（供应商）下载采购类项目网上报名操作指南（网站http://ggzy.dafeng.gov.cn/dfweb/InfoDetail/?InfoID=8a98b92b-4bd3-4d80-afcf-ddb1d664dfbf&amp;CategoryNum=029）。</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（2）各潜在投标人（供应商）根据网上报名操作指南进行操作，仔细阅读采购类项目网上报名操作指南，认真掌握操作方法(请牢记登录名和密码)，确保信息准确无误，如填报错误,后果由投标单位自行承担。</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（3）各潜在投标人（供应商）在规定时间下载招标文件后，报名视为成功。若未在报名系统下载招标文件，视为未报名。售价0元。</w:t>
      </w:r>
    </w:p>
    <w:p>
      <w:pPr>
        <w:widowControl/>
        <w:shd w:val="clear" w:color="auto" w:fill="FFFFFF"/>
        <w:spacing w:line="360" w:lineRule="auto"/>
        <w:ind w:firstLine="480"/>
        <w:jc w:val="left"/>
        <w:rPr>
          <w:rStyle w:val="48"/>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（4）报名技术咨询电话：0515-83927018，或咨询本项目的招标代理联系人。</w:t>
      </w:r>
    </w:p>
    <w:p>
      <w:pPr>
        <w:widowControl/>
        <w:shd w:val="clear" w:color="auto" w:fill="FFFFFF"/>
        <w:spacing w:line="360" w:lineRule="auto"/>
        <w:ind w:firstLine="480"/>
        <w:jc w:val="left"/>
        <w:rPr>
          <w:rStyle w:val="48"/>
          <w:rFonts w:cs="宋体" w:asciiTheme="minorEastAsia" w:hAnsiTheme="minorEastAsia" w:eastAsiaTheme="minorEastAsia"/>
          <w:color w:val="auto"/>
          <w:kern w:val="0"/>
          <w:sz w:val="24"/>
          <w:shd w:val="clear" w:color="auto" w:fill="FFFFFF"/>
        </w:rPr>
      </w:pPr>
      <w:r>
        <w:rPr>
          <w:rStyle w:val="48"/>
          <w:rFonts w:hint="eastAsia" w:cs="宋体" w:asciiTheme="minorEastAsia" w:hAnsiTheme="minorEastAsia" w:eastAsiaTheme="minorEastAsia"/>
          <w:color w:val="auto"/>
          <w:kern w:val="0"/>
          <w:sz w:val="24"/>
          <w:shd w:val="clear" w:color="auto" w:fill="FFFFFF"/>
        </w:rPr>
        <w:t>四、提交投标文件截止时间、开标时间和地点</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纸质文件开标。开标当日，投标人无需到达开标现场，仅需在任意地点通过PC端或移动端的“腾讯会议”及相应的配套硬件设备参加开标会议。</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参加会议的方法：电脑或智能手机可以搜索下载并安装“腾讯会议”，注册完成后点击“加入会议”，输入会议号“</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u w:val="single"/>
          <w:shd w:val="clear" w:color="auto" w:fill="FFFFFF"/>
          <w:lang w:val="en-US" w:eastAsia="zh-CN"/>
        </w:rPr>
        <w:t>788-951-048</w:t>
      </w:r>
      <w:r>
        <w:rPr>
          <w:rFonts w:hint="eastAsia" w:cs="宋体" w:asciiTheme="minorEastAsia" w:hAnsiTheme="minorEastAsia" w:eastAsiaTheme="minorEastAsia"/>
          <w:color w:val="auto"/>
          <w:kern w:val="0"/>
          <w:sz w:val="24"/>
          <w:u w:val="single"/>
          <w:shd w:val="clear" w:color="auto" w:fill="FFFFFF"/>
        </w:rPr>
        <w:t xml:space="preserve">  </w:t>
      </w:r>
      <w:r>
        <w:rPr>
          <w:rFonts w:hint="eastAsia" w:cs="宋体" w:asciiTheme="minorEastAsia" w:hAnsiTheme="minorEastAsia" w:eastAsiaTheme="minorEastAsia"/>
          <w:color w:val="auto"/>
          <w:kern w:val="0"/>
          <w:sz w:val="24"/>
          <w:shd w:val="clear" w:color="auto" w:fill="FFFFFF"/>
        </w:rPr>
        <w:t>”，“您的姓名”按“单位简称+授权委托人姓名”格式填写，然后点击“加入会议”。会议系统将在投标截止时间前10分钟开放。</w:t>
      </w:r>
    </w:p>
    <w:p>
      <w:pPr>
        <w:widowControl/>
        <w:shd w:val="clear" w:color="auto" w:fill="FFFFFF"/>
        <w:spacing w:line="360" w:lineRule="auto"/>
        <w:ind w:firstLine="480"/>
        <w:jc w:val="left"/>
        <w:rPr>
          <w:rFonts w:asciiTheme="minorEastAsia" w:hAnsiTheme="minorEastAsia" w:eastAsiaTheme="minorEastAsia"/>
          <w:color w:val="auto"/>
          <w:sz w:val="24"/>
        </w:rPr>
      </w:pPr>
      <w:r>
        <w:rPr>
          <w:rFonts w:hint="eastAsia" w:cs="宋体" w:asciiTheme="minorEastAsia" w:hAnsiTheme="minorEastAsia" w:eastAsiaTheme="minorEastAsia"/>
          <w:color w:val="auto"/>
          <w:kern w:val="0"/>
          <w:sz w:val="24"/>
          <w:shd w:val="clear" w:color="auto" w:fill="FFFFFF"/>
        </w:rPr>
        <w:t>招标代理联系人：金燕          联系电话：15161955460</w:t>
      </w:r>
    </w:p>
    <w:p>
      <w:pPr>
        <w:widowControl/>
        <w:numPr>
          <w:ilvl w:val="0"/>
          <w:numId w:val="0"/>
        </w:numPr>
        <w:shd w:val="clear" w:color="auto" w:fill="FFFFFF"/>
        <w:spacing w:line="360" w:lineRule="auto"/>
        <w:ind w:firstLine="480" w:firstLineChars="200"/>
        <w:jc w:val="left"/>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rPr>
        <w:t>投标文件递交时间段：2022年</w:t>
      </w: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17</w:t>
      </w:r>
      <w:r>
        <w:rPr>
          <w:rFonts w:hint="eastAsia" w:cs="宋体" w:asciiTheme="minorEastAsia" w:hAnsiTheme="minorEastAsia" w:eastAsiaTheme="minorEastAsia"/>
          <w:color w:val="auto"/>
          <w:sz w:val="24"/>
        </w:rPr>
        <w:t xml:space="preserve">日 </w:t>
      </w: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 xml:space="preserve"> 时</w:t>
      </w:r>
      <w:r>
        <w:rPr>
          <w:rFonts w:hint="eastAsia" w:cs="宋体" w:asciiTheme="minorEastAsia" w:hAnsiTheme="minorEastAsia" w:eastAsiaTheme="minorEastAsia"/>
          <w:color w:val="auto"/>
          <w:sz w:val="24"/>
          <w:lang w:val="en-US" w:eastAsia="zh-CN"/>
        </w:rPr>
        <w:t>30</w:t>
      </w:r>
      <w:r>
        <w:rPr>
          <w:rFonts w:hint="eastAsia" w:cs="宋体" w:asciiTheme="minorEastAsia" w:hAnsiTheme="minorEastAsia" w:eastAsiaTheme="minorEastAsia"/>
          <w:color w:val="auto"/>
          <w:sz w:val="24"/>
        </w:rPr>
        <w:t>分</w:t>
      </w:r>
    </w:p>
    <w:p>
      <w:pPr>
        <w:widowControl/>
        <w:numPr>
          <w:ilvl w:val="0"/>
          <w:numId w:val="0"/>
        </w:numPr>
        <w:shd w:val="clear" w:color="auto" w:fill="FFFFFF"/>
        <w:spacing w:line="360" w:lineRule="auto"/>
        <w:ind w:firstLine="480" w:firstLineChars="200"/>
        <w:jc w:val="left"/>
        <w:rPr>
          <w:rFonts w:cs="宋体" w:asciiTheme="minorEastAsia" w:hAnsiTheme="minorEastAsia"/>
          <w:color w:val="auto"/>
          <w:sz w:val="24"/>
        </w:rPr>
      </w:pPr>
      <w:r>
        <w:rPr>
          <w:rFonts w:hint="eastAsia" w:cs="宋体" w:asciiTheme="minorEastAsia" w:hAnsiTheme="minorEastAsia" w:eastAsiaTheme="minorEastAsia"/>
          <w:color w:val="auto"/>
          <w:kern w:val="0"/>
          <w:sz w:val="24"/>
          <w:shd w:val="clear" w:color="auto" w:fill="FFFFFF"/>
        </w:rPr>
        <w:t>投标文件递交地点</w:t>
      </w:r>
      <w:r>
        <w:rPr>
          <w:rFonts w:hint="eastAsia" w:cs="宋体" w:asciiTheme="minorEastAsia" w:hAnsiTheme="minorEastAsia" w:eastAsiaTheme="minorEastAsia"/>
          <w:color w:val="auto"/>
          <w:sz w:val="24"/>
        </w:rPr>
        <w:t>：</w:t>
      </w:r>
      <w:r>
        <w:rPr>
          <w:rFonts w:hint="eastAsia" w:ascii="宋体" w:hAnsi="宋体" w:cs="宋体"/>
          <w:color w:val="auto"/>
          <w:sz w:val="24"/>
        </w:rPr>
        <w:t>盐城市大丰区市民服务中心大楼二楼西侧大厅，北大门进，右侧自动扶梯上（详细地址：盐城市大丰区飞达东路100号）。投标人进入大楼和递交投标文件过程须严格执行本地动态疫情防控政策。</w:t>
      </w:r>
    </w:p>
    <w:p>
      <w:pPr>
        <w:widowControl/>
        <w:shd w:val="clear" w:color="auto" w:fill="FFFFFF"/>
        <w:spacing w:line="360" w:lineRule="auto"/>
        <w:ind w:firstLine="48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3、投标截止时间即开标时间：2022年</w:t>
      </w: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17</w:t>
      </w:r>
      <w:r>
        <w:rPr>
          <w:rFonts w:hint="eastAsia" w:cs="宋体" w:asciiTheme="minorEastAsia" w:hAnsiTheme="minorEastAsia" w:eastAsiaTheme="minorEastAsia"/>
          <w:color w:val="auto"/>
          <w:sz w:val="24"/>
        </w:rPr>
        <w:t>日</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时00分00秒</w:t>
      </w:r>
    </w:p>
    <w:p>
      <w:pPr>
        <w:widowControl/>
        <w:shd w:val="clear" w:color="auto" w:fill="FFFFFF"/>
        <w:spacing w:line="360" w:lineRule="auto"/>
        <w:ind w:firstLine="48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4、逾期送达或者未送达指定地点的投标文件，招标人不予受理。</w:t>
      </w:r>
    </w:p>
    <w:p>
      <w:pPr>
        <w:widowControl/>
        <w:shd w:val="clear" w:color="auto" w:fill="FFFFFF"/>
        <w:spacing w:line="360" w:lineRule="auto"/>
        <w:ind w:firstLine="480"/>
        <w:jc w:val="left"/>
        <w:rPr>
          <w:rFonts w:cs="宋体" w:asciiTheme="minorEastAsia" w:hAnsiTheme="minorEastAsia" w:eastAsiaTheme="minorEastAsia"/>
          <w:color w:val="auto"/>
          <w:sz w:val="24"/>
        </w:rPr>
      </w:pPr>
      <w:r>
        <w:rPr>
          <w:rStyle w:val="48"/>
          <w:rFonts w:hint="eastAsia" w:cs="宋体" w:asciiTheme="minorEastAsia" w:hAnsiTheme="minorEastAsia" w:eastAsiaTheme="minorEastAsia"/>
          <w:color w:val="auto"/>
          <w:kern w:val="0"/>
          <w:sz w:val="24"/>
          <w:shd w:val="clear" w:color="auto" w:fill="FFFFFF"/>
        </w:rPr>
        <w:t>五、公告期限</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color w:val="auto"/>
          <w:kern w:val="0"/>
          <w:sz w:val="24"/>
          <w:shd w:val="clear" w:color="auto" w:fill="FFFFFF"/>
        </w:rPr>
        <w:t>自本公告发布之日起5个工作日。</w:t>
      </w:r>
    </w:p>
    <w:p>
      <w:pPr>
        <w:widowControl/>
        <w:numPr>
          <w:ilvl w:val="0"/>
          <w:numId w:val="2"/>
        </w:numPr>
        <w:shd w:val="clear" w:color="auto" w:fill="FFFFFF"/>
        <w:spacing w:line="360" w:lineRule="auto"/>
        <w:ind w:firstLine="480"/>
        <w:jc w:val="left"/>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其他补充事宜</w:t>
      </w:r>
    </w:p>
    <w:p>
      <w:pPr>
        <w:widowControl/>
        <w:shd w:val="clear" w:color="auto" w:fill="FFFFFF"/>
        <w:spacing w:line="360" w:lineRule="auto"/>
        <w:ind w:firstLine="48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1、本招标项目采用的评标方法：</w:t>
      </w:r>
      <w:r>
        <w:rPr>
          <w:rFonts w:hint="eastAsia" w:cs="宋体" w:asciiTheme="minorEastAsia" w:hAnsiTheme="minorEastAsia" w:eastAsiaTheme="minorEastAsia"/>
          <w:color w:val="auto"/>
          <w:sz w:val="24"/>
          <w:u w:val="single"/>
        </w:rPr>
        <w:t>综合评分法</w:t>
      </w:r>
      <w:r>
        <w:rPr>
          <w:rFonts w:hint="eastAsia" w:cs="宋体" w:asciiTheme="minorEastAsia" w:hAnsiTheme="minorEastAsia" w:eastAsiaTheme="minorEastAsia"/>
          <w:color w:val="auto"/>
          <w:sz w:val="24"/>
        </w:rPr>
        <w:t>。</w:t>
      </w:r>
    </w:p>
    <w:p>
      <w:pPr>
        <w:widowControl/>
        <w:shd w:val="clear" w:color="auto" w:fill="FFFFFF"/>
        <w:spacing w:line="360" w:lineRule="auto"/>
        <w:ind w:firstLine="480"/>
        <w:jc w:val="left"/>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2、本项目招标公告发布媒介：</w:t>
      </w:r>
      <w:r>
        <w:rPr>
          <w:rFonts w:hint="eastAsia" w:cs="宋体" w:asciiTheme="minorEastAsia" w:hAnsiTheme="minorEastAsia" w:eastAsiaTheme="minorEastAsia"/>
          <w:color w:val="auto"/>
          <w:sz w:val="24"/>
          <w:u w:val="single"/>
        </w:rPr>
        <w:t>江苏政府采购网（http://www.ccgp-jiangsu.gov.cn/）、盐城市政府采购网(http://yccz.yancheng.gov.cn/col/col2383/index.html)、大丰公共资源电子交易平台（网址：http://ggzy.dafeng.gov.cn/dfweb/）</w:t>
      </w:r>
      <w:r>
        <w:rPr>
          <w:rFonts w:hint="eastAsia" w:cs="宋体" w:asciiTheme="minorEastAsia" w:hAnsiTheme="minorEastAsia" w:eastAsiaTheme="minorEastAsia"/>
          <w:color w:val="auto"/>
          <w:sz w:val="24"/>
        </w:rPr>
        <w:t>。</w:t>
      </w:r>
    </w:p>
    <w:p>
      <w:pPr>
        <w:widowControl/>
        <w:shd w:val="clear" w:color="auto" w:fill="FFFFFF"/>
        <w:spacing w:line="360" w:lineRule="auto"/>
        <w:ind w:firstLine="480"/>
        <w:jc w:val="left"/>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3、投标前请关注“大丰公共资源交易平台”的“政府采购”——“最高限价”和“答疑补充”栏目。及时了解到项目的“最高限价”和“答疑补充”等情况。</w:t>
      </w:r>
    </w:p>
    <w:p>
      <w:pPr>
        <w:widowControl/>
        <w:shd w:val="clear" w:color="auto" w:fill="FFFFFF"/>
        <w:spacing w:line="360" w:lineRule="auto"/>
        <w:ind w:firstLine="480"/>
        <w:jc w:val="left"/>
        <w:rPr>
          <w:rFonts w:cs="宋体" w:asciiTheme="minorEastAsia" w:hAnsiTheme="minorEastAsia" w:eastAsiaTheme="minorEastAsia"/>
          <w:color w:val="auto"/>
          <w:kern w:val="0"/>
          <w:sz w:val="24"/>
          <w:shd w:val="clear" w:color="auto" w:fill="FFFFFF"/>
        </w:rPr>
      </w:pPr>
      <w:r>
        <w:rPr>
          <w:rFonts w:hint="eastAsia" w:cs="宋体" w:asciiTheme="minorEastAsia" w:hAnsiTheme="minorEastAsia" w:eastAsiaTheme="minorEastAsia"/>
          <w:b/>
          <w:bCs/>
          <w:color w:val="auto"/>
          <w:kern w:val="0"/>
          <w:sz w:val="24"/>
          <w:shd w:val="clear" w:color="auto" w:fill="FFFFFF"/>
        </w:rPr>
        <w:t>七、对本次招标提出询问，请按以下方式联系。</w:t>
      </w:r>
    </w:p>
    <w:p>
      <w:pPr>
        <w:widowControl/>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1、招标人信息</w:t>
      </w:r>
    </w:p>
    <w:p>
      <w:pPr>
        <w:spacing w:line="360" w:lineRule="auto"/>
        <w:ind w:firstLine="480" w:firstLineChars="200"/>
        <w:jc w:val="left"/>
        <w:rPr>
          <w:rFonts w:cs="宋体" w:asciiTheme="minorEastAsia" w:hAnsiTheme="minorEastAsia" w:eastAsiaTheme="minorEastAsia"/>
          <w:color w:val="auto"/>
          <w:sz w:val="24"/>
        </w:rPr>
      </w:pPr>
      <w:bookmarkStart w:id="15" w:name="_Toc28359086"/>
      <w:bookmarkStart w:id="16" w:name="_Toc28359009"/>
      <w:r>
        <w:rPr>
          <w:rFonts w:hint="eastAsia" w:cs="宋体" w:asciiTheme="minorEastAsia" w:hAnsiTheme="minorEastAsia" w:eastAsiaTheme="minorEastAsia"/>
          <w:color w:val="auto"/>
          <w:sz w:val="24"/>
        </w:rPr>
        <w:t>招标人：</w:t>
      </w:r>
      <w:r>
        <w:rPr>
          <w:rFonts w:hint="eastAsia" w:ascii="宋体" w:hAnsi="宋体" w:cs="宋体" w:eastAsiaTheme="minorEastAsia"/>
          <w:color w:val="auto"/>
          <w:kern w:val="0"/>
          <w:sz w:val="24"/>
        </w:rPr>
        <w:t>盐城市大丰区自然资源和规划局</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联系地址：江苏省盐城市大丰区幸福西大街9号</w:t>
      </w:r>
    </w:p>
    <w:p>
      <w:pPr>
        <w:spacing w:line="360" w:lineRule="auto"/>
        <w:ind w:firstLine="480" w:firstLineChars="200"/>
        <w:jc w:val="left"/>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联系人：宗女士</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联系电话：13814306528</w:t>
      </w:r>
    </w:p>
    <w:p>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2、招标代理机构信息</w:t>
      </w:r>
      <w:bookmarkEnd w:id="15"/>
      <w:bookmarkEnd w:id="16"/>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名 称：</w:t>
      </w:r>
      <w:r>
        <w:rPr>
          <w:rFonts w:hint="eastAsia" w:ascii="宋体" w:hAnsi="宋体" w:cs="宋体" w:eastAsiaTheme="minorEastAsia"/>
          <w:color w:val="auto"/>
          <w:sz w:val="24"/>
        </w:rPr>
        <w:t>江苏仁禾中衡工程咨询房地产估价有限公司</w:t>
      </w:r>
    </w:p>
    <w:p>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地　址：</w:t>
      </w:r>
      <w:r>
        <w:rPr>
          <w:rFonts w:hint="eastAsia" w:ascii="宋体" w:hAnsi="宋体" w:cs="宋体"/>
          <w:color w:val="auto"/>
          <w:sz w:val="24"/>
        </w:rPr>
        <w:t>盐城市大丰区</w:t>
      </w:r>
    </w:p>
    <w:p>
      <w:pPr>
        <w:pStyle w:val="24"/>
        <w:widowControl/>
        <w:shd w:val="clear" w:color="auto" w:fill="FFFFFF"/>
        <w:spacing w:line="360" w:lineRule="auto"/>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项目联系人：金燕</w:t>
      </w:r>
    </w:p>
    <w:p>
      <w:pPr>
        <w:pStyle w:val="24"/>
        <w:widowControl/>
        <w:spacing w:line="360" w:lineRule="auto"/>
        <w:ind w:firstLine="480" w:firstLineChars="200"/>
        <w:jc w:val="left"/>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联系电话：15161955460</w:t>
      </w:r>
    </w:p>
    <w:bookmarkEnd w:id="4"/>
    <w:p>
      <w:pPr>
        <w:pStyle w:val="2"/>
        <w:ind w:left="0" w:leftChars="0" w:firstLine="0" w:firstLineChars="0"/>
        <w:rPr>
          <w:rFonts w:ascii="宋体" w:hAnsi="宋体" w:cs="宋体"/>
          <w:color w:val="auto"/>
          <w:kern w:val="0"/>
          <w:szCs w:val="21"/>
          <w:shd w:val="clear" w:color="auto" w:fill="FFFFFF"/>
        </w:rPr>
      </w:pPr>
    </w:p>
    <w:bookmarkEnd w:id="6"/>
    <w:bookmarkEnd w:id="7"/>
    <w:bookmarkEnd w:id="8"/>
    <w:bookmarkEnd w:id="9"/>
    <w:bookmarkEnd w:id="10"/>
    <w:bookmarkEnd w:id="11"/>
    <w:bookmarkEnd w:id="12"/>
    <w:bookmarkEnd w:id="13"/>
    <w:bookmarkEnd w:id="14"/>
    <w:p>
      <w:pPr>
        <w:pStyle w:val="124"/>
        <w:jc w:val="center"/>
        <w:outlineLvl w:val="0"/>
        <w:rPr>
          <w:rFonts w:ascii="宋体" w:hAnsi="宋体"/>
          <w:color w:val="auto"/>
          <w:sz w:val="44"/>
          <w:szCs w:val="44"/>
        </w:rPr>
      </w:pPr>
      <w:bookmarkStart w:id="17" w:name="_Toc16854"/>
      <w:bookmarkStart w:id="18" w:name="_Toc397928548"/>
      <w:bookmarkStart w:id="19" w:name="_Toc387526178"/>
      <w:bookmarkStart w:id="20" w:name="_Toc387526374"/>
      <w:bookmarkStart w:id="21" w:name="_Toc511142438"/>
      <w:bookmarkStart w:id="22" w:name="_Toc369077559"/>
      <w:bookmarkStart w:id="23" w:name="_Toc16205"/>
      <w:bookmarkStart w:id="24" w:name="_Toc387526282"/>
      <w:r>
        <w:rPr>
          <w:rFonts w:hint="eastAsia" w:ascii="宋体" w:hAnsi="宋体"/>
          <w:color w:val="auto"/>
          <w:sz w:val="44"/>
          <w:szCs w:val="44"/>
        </w:rPr>
        <w:t>第二章 投标人须知</w:t>
      </w:r>
      <w:bookmarkEnd w:id="17"/>
    </w:p>
    <w:p>
      <w:pPr>
        <w:pStyle w:val="124"/>
        <w:jc w:val="center"/>
        <w:rPr>
          <w:rFonts w:ascii="宋体" w:hAnsi="宋体"/>
          <w:color w:val="auto"/>
          <w:sz w:val="28"/>
          <w:szCs w:val="28"/>
        </w:rPr>
      </w:pPr>
      <w:r>
        <w:rPr>
          <w:rFonts w:hint="eastAsia" w:ascii="宋体" w:hAnsi="宋体"/>
          <w:color w:val="auto"/>
          <w:sz w:val="28"/>
          <w:szCs w:val="28"/>
        </w:rPr>
        <w:t xml:space="preserve"> 投标人须知前附表</w:t>
      </w:r>
      <w:bookmarkEnd w:id="18"/>
      <w:bookmarkEnd w:id="19"/>
      <w:bookmarkEnd w:id="20"/>
      <w:bookmarkEnd w:id="21"/>
      <w:bookmarkEnd w:id="22"/>
      <w:bookmarkEnd w:id="23"/>
      <w:bookmarkEnd w:id="24"/>
    </w:p>
    <w:tbl>
      <w:tblPr>
        <w:tblStyle w:val="45"/>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922"/>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条款号</w:t>
            </w:r>
          </w:p>
        </w:tc>
        <w:tc>
          <w:tcPr>
            <w:tcW w:w="1922" w:type="dxa"/>
            <w:vAlign w:val="center"/>
          </w:tcPr>
          <w:p>
            <w:pPr>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条款名称</w:t>
            </w:r>
          </w:p>
        </w:tc>
        <w:tc>
          <w:tcPr>
            <w:tcW w:w="6954" w:type="dxa"/>
            <w:vAlign w:val="center"/>
          </w:tcPr>
          <w:p>
            <w:pPr>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1.1.2</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招标人</w:t>
            </w:r>
          </w:p>
        </w:tc>
        <w:tc>
          <w:tcPr>
            <w:tcW w:w="6954" w:type="dxa"/>
            <w:vAlign w:val="center"/>
          </w:tcPr>
          <w:p>
            <w:pP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盐城市大丰区自然资源和规划局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1.1.3</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招标代理机构</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shd w:val="clear" w:color="auto" w:fill="FFFFFF"/>
              </w:rPr>
              <w:t xml:space="preserve">江苏仁禾中衡工程咨询房地产估价有限公司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1.1.4</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项目名称</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盐城市大丰区自然资源信息化监管平台（鹰眼系统）服务项目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资金来源</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1.2.2</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出资比例</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1.2.3</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资金落实情况</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招标内容</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1.3.2</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项目服务期</w:t>
            </w:r>
          </w:p>
        </w:tc>
        <w:tc>
          <w:tcPr>
            <w:tcW w:w="6954" w:type="dxa"/>
            <w:vAlign w:val="center"/>
          </w:tcPr>
          <w:p>
            <w:pPr>
              <w:tabs>
                <w:tab w:val="left" w:pos="360"/>
                <w:tab w:val="left" w:pos="1200"/>
              </w:tabs>
              <w:spacing w:line="400" w:lineRule="exact"/>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1.3.3</w:t>
            </w:r>
          </w:p>
        </w:tc>
        <w:tc>
          <w:tcPr>
            <w:tcW w:w="1922" w:type="dxa"/>
            <w:vAlign w:val="center"/>
          </w:tcPr>
          <w:p>
            <w:pPr>
              <w:jc w:val="center"/>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服务地点</w:t>
            </w:r>
          </w:p>
        </w:tc>
        <w:tc>
          <w:tcPr>
            <w:tcW w:w="6954" w:type="dxa"/>
            <w:vAlign w:val="center"/>
          </w:tcPr>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由招标人指定地点为准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1.3.4</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质量标准及验收</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投标人资格要求</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1.4.2</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是否接受联合体投标</w:t>
            </w:r>
          </w:p>
        </w:tc>
        <w:tc>
          <w:tcPr>
            <w:tcW w:w="6954" w:type="dxa"/>
            <w:vAlign w:val="center"/>
          </w:tcPr>
          <w:p>
            <w:pPr>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35" w:type="dxa"/>
            <w:vAlign w:val="center"/>
          </w:tcPr>
          <w:p>
            <w:pPr>
              <w:jc w:val="center"/>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1.9.1</w:t>
            </w:r>
          </w:p>
        </w:tc>
        <w:tc>
          <w:tcPr>
            <w:tcW w:w="1922" w:type="dxa"/>
            <w:vAlign w:val="center"/>
          </w:tcPr>
          <w:p>
            <w:pPr>
              <w:jc w:val="center"/>
              <w:rPr>
                <w:rFonts w:cs="宋体" w:asciiTheme="minorEastAsia" w:hAnsiTheme="minorEastAsia" w:eastAsiaTheme="minorEastAsia"/>
                <w:b/>
                <w:color w:val="auto"/>
                <w:sz w:val="24"/>
              </w:rPr>
            </w:pPr>
            <w:r>
              <w:rPr>
                <w:rFonts w:hint="eastAsia" w:cs="宋体" w:asciiTheme="minorEastAsia" w:hAnsiTheme="minorEastAsia" w:eastAsiaTheme="minorEastAsia"/>
                <w:color w:val="auto"/>
                <w:kern w:val="0"/>
                <w:sz w:val="24"/>
              </w:rPr>
              <w:t>踏勘现场</w:t>
            </w:r>
          </w:p>
        </w:tc>
        <w:tc>
          <w:tcPr>
            <w:tcW w:w="6954" w:type="dxa"/>
            <w:vAlign w:val="center"/>
          </w:tcPr>
          <w:p>
            <w:pPr>
              <w:jc w:val="left"/>
              <w:rPr>
                <w:rFonts w:cs="宋体" w:asciiTheme="minorEastAsia" w:hAnsiTheme="minorEastAsia" w:eastAsiaTheme="minorEastAsia"/>
                <w:b/>
                <w:color w:val="auto"/>
                <w:sz w:val="24"/>
                <w:u w:val="single"/>
              </w:rPr>
            </w:pPr>
            <w:r>
              <w:rPr>
                <w:rFonts w:hint="eastAsia" w:cs="宋体" w:asciiTheme="minorEastAsia" w:hAnsiTheme="minorEastAsia" w:eastAsiaTheme="minorEastAsia"/>
                <w:color w:val="auto"/>
                <w:sz w:val="24"/>
              </w:rPr>
              <w:t>由意向投标人自行组织，充分了解实际使用环境及特点。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1.10</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投标预备会</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fldChar w:fldCharType="begin"/>
            </w:r>
            <w:r>
              <w:rPr>
                <w:rFonts w:hint="eastAsia" w:cs="宋体" w:asciiTheme="minorEastAsia" w:hAnsiTheme="minorEastAsia" w:eastAsiaTheme="minorEastAsia"/>
                <w:color w:val="auto"/>
                <w:kern w:val="0"/>
                <w:sz w:val="24"/>
              </w:rPr>
              <w:instrText xml:space="preserve"> eq \o\ac(</w:instrText>
            </w:r>
            <w:r>
              <w:rPr>
                <w:rFonts w:hint="eastAsia" w:cs="宋体" w:asciiTheme="minorEastAsia" w:hAnsiTheme="minorEastAsia" w:eastAsiaTheme="minorEastAsia"/>
                <w:color w:val="auto"/>
                <w:kern w:val="0"/>
                <w:position w:val="-4"/>
                <w:sz w:val="36"/>
              </w:rPr>
              <w:instrText xml:space="preserve">□</w:instrText>
            </w:r>
            <w:r>
              <w:rPr>
                <w:rFonts w:hint="eastAsia" w:cs="宋体" w:asciiTheme="minorEastAsia" w:hAnsiTheme="minorEastAsia" w:eastAsiaTheme="minorEastAsia"/>
                <w:color w:val="auto"/>
                <w:kern w:val="0"/>
                <w:sz w:val="24"/>
              </w:rPr>
              <w:instrText xml:space="preserve">,√)</w:instrText>
            </w:r>
            <w:r>
              <w:rPr>
                <w:rFonts w:hint="eastAsia" w:cs="宋体" w:asciiTheme="minorEastAsia" w:hAnsiTheme="minorEastAsia" w:eastAsiaTheme="minorEastAsia"/>
                <w:color w:val="auto"/>
                <w:kern w:val="0"/>
                <w:sz w:val="24"/>
              </w:rPr>
              <w:fldChar w:fldCharType="end"/>
            </w:r>
            <w:r>
              <w:rPr>
                <w:rFonts w:hint="eastAsia" w:cs="宋体" w:asciiTheme="minorEastAsia" w:hAnsiTheme="minorEastAsia" w:eastAsiaTheme="minorEastAsia"/>
                <w:color w:val="auto"/>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偏离</w:t>
            </w:r>
          </w:p>
        </w:tc>
        <w:tc>
          <w:tcPr>
            <w:tcW w:w="6954" w:type="dxa"/>
            <w:vAlign w:val="center"/>
          </w:tcPr>
          <w:p>
            <w:pP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fldChar w:fldCharType="begin"/>
            </w:r>
            <w:r>
              <w:rPr>
                <w:rFonts w:hint="eastAsia" w:cs="宋体" w:asciiTheme="minorEastAsia" w:hAnsiTheme="minorEastAsia" w:eastAsiaTheme="minorEastAsia"/>
                <w:color w:val="auto"/>
                <w:kern w:val="0"/>
                <w:sz w:val="24"/>
              </w:rPr>
              <w:instrText xml:space="preserve"> eq \o\ac(</w:instrText>
            </w:r>
            <w:r>
              <w:rPr>
                <w:rFonts w:hint="eastAsia" w:cs="宋体" w:asciiTheme="minorEastAsia" w:hAnsiTheme="minorEastAsia" w:eastAsiaTheme="minorEastAsia"/>
                <w:color w:val="auto"/>
                <w:kern w:val="0"/>
                <w:position w:val="-4"/>
                <w:sz w:val="36"/>
              </w:rPr>
              <w:instrText xml:space="preserve">□</w:instrText>
            </w:r>
            <w:r>
              <w:rPr>
                <w:rFonts w:hint="eastAsia" w:cs="宋体" w:asciiTheme="minorEastAsia" w:hAnsiTheme="minorEastAsia" w:eastAsiaTheme="minorEastAsia"/>
                <w:color w:val="auto"/>
                <w:kern w:val="0"/>
                <w:sz w:val="24"/>
              </w:rPr>
              <w:instrText xml:space="preserve">,√)</w:instrText>
            </w:r>
            <w:r>
              <w:rPr>
                <w:rFonts w:hint="eastAsia" w:cs="宋体" w:asciiTheme="minorEastAsia" w:hAnsiTheme="minorEastAsia" w:eastAsiaTheme="minorEastAsia"/>
                <w:color w:val="auto"/>
                <w:kern w:val="0"/>
                <w:sz w:val="24"/>
              </w:rPr>
              <w:fldChar w:fldCharType="end"/>
            </w:r>
            <w:r>
              <w:rPr>
                <w:rFonts w:hint="eastAsia" w:cs="宋体" w:asciiTheme="minorEastAsia" w:hAnsiTheme="minorEastAsia" w:eastAsiaTheme="minorEastAsia"/>
                <w:color w:val="auto"/>
                <w:sz w:val="24"/>
              </w:rPr>
              <w:t>不允许</w:t>
            </w:r>
          </w:p>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w:t>
            </w:r>
            <w:r>
              <w:rPr>
                <w:rFonts w:hint="eastAsia" w:cs="宋体" w:asciiTheme="minorEastAsia" w:hAnsiTheme="minorEastAsia" w:eastAsiaTheme="minorEastAsia"/>
                <w:color w:val="auto"/>
                <w:sz w:val="24"/>
              </w:rPr>
              <w:t>允许，允许偏离范围：不可负偏离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2.1.1</w:t>
            </w:r>
          </w:p>
        </w:tc>
        <w:tc>
          <w:tcPr>
            <w:tcW w:w="1922" w:type="dxa"/>
            <w:vAlign w:val="center"/>
          </w:tcPr>
          <w:p>
            <w:pPr>
              <w:jc w:val="center"/>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构成招标文件的其它材料</w:t>
            </w:r>
          </w:p>
        </w:tc>
        <w:tc>
          <w:tcPr>
            <w:tcW w:w="6954" w:type="dxa"/>
            <w:vAlign w:val="center"/>
          </w:tcPr>
          <w:p>
            <w:pPr>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要求招标人质疑和澄清招标文件截至时间</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2022年1月 </w:t>
            </w:r>
            <w:r>
              <w:rPr>
                <w:rFonts w:hint="eastAsia" w:cs="宋体" w:asciiTheme="minorEastAsia" w:hAnsiTheme="minorEastAsia" w:eastAsiaTheme="minorEastAsia"/>
                <w:color w:val="auto"/>
                <w:sz w:val="24"/>
                <w:lang w:val="en-US" w:eastAsia="zh-CN"/>
              </w:rPr>
              <w:t>29</w:t>
            </w:r>
            <w:r>
              <w:rPr>
                <w:rFonts w:hint="eastAsia" w:cs="宋体" w:asciiTheme="minorEastAsia" w:hAnsiTheme="minorEastAsia" w:eastAsiaTheme="minorEastAsia"/>
                <w:color w:val="auto"/>
                <w:sz w:val="24"/>
              </w:rPr>
              <w:t xml:space="preserve"> 日12时前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2.2.3</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投标人确认收到招标文件质疑和澄清时间</w:t>
            </w:r>
          </w:p>
        </w:tc>
        <w:tc>
          <w:tcPr>
            <w:tcW w:w="6954" w:type="dxa"/>
            <w:vAlign w:val="center"/>
          </w:tcPr>
          <w:p>
            <w:pPr>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2.3.1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投标人确认收到招标文件修改时间</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投标文件的组成</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投标文件包括资信文件、商务文件、技术文件、开标一览表等，</w:t>
            </w:r>
            <w:r>
              <w:rPr>
                <w:rFonts w:hint="eastAsia" w:ascii="宋体" w:hAnsi="宋体" w:cs="宋体"/>
                <w:color w:val="auto"/>
                <w:sz w:val="24"/>
              </w:rPr>
              <w:t>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须提交核验的材料</w:t>
            </w:r>
          </w:p>
        </w:tc>
        <w:tc>
          <w:tcPr>
            <w:tcW w:w="6954" w:type="dxa"/>
            <w:vAlign w:val="center"/>
          </w:tcPr>
          <w:p>
            <w:pPr>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详见投标人须知3.1.1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3.2.2</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投标报价要求</w:t>
            </w:r>
          </w:p>
        </w:tc>
        <w:tc>
          <w:tcPr>
            <w:tcW w:w="6954" w:type="dxa"/>
            <w:vAlign w:val="center"/>
          </w:tcPr>
          <w:p>
            <w:pPr>
              <w:pStyle w:val="24"/>
              <w:snapToGrid w:val="0"/>
              <w:spacing w:before="231" w:after="231" w:line="380" w:lineRule="exact"/>
              <w:rPr>
                <w:rFonts w:cs="宋体" w:asciiTheme="minorEastAsia" w:hAnsiTheme="minorEastAsia" w:eastAsiaTheme="minorEastAsia"/>
                <w:color w:val="auto"/>
                <w:sz w:val="24"/>
                <w:szCs w:val="24"/>
              </w:rPr>
            </w:pPr>
            <w:r>
              <w:rPr>
                <w:rFonts w:hint="eastAsia" w:hAnsi="宋体" w:cs="宋体"/>
                <w:bCs/>
                <w:color w:val="auto"/>
                <w:sz w:val="24"/>
                <w:szCs w:val="24"/>
              </w:rPr>
              <w:t>投标报价是履行合同的最终价格，为完成本项目可能发生的全部费用及利润和税金等包括但不限于相关服务费、人工费、材料费、光纤联网使用费、整合资源费、技术服务费、税费、企业管理费、利润、招标代理费等用以及所有不可预见的全部相关费用，结算时甲方不另外增加任何费用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3.2.3</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最高投标限价</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u w:val="single"/>
              </w:rPr>
              <w:t>86万元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投标有效期</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highlight w:val="white"/>
                <w:u w:val="single"/>
                <w:lang w:val="zh-CN"/>
              </w:rPr>
              <w:t xml:space="preserve">60 </w:t>
            </w:r>
            <w:r>
              <w:rPr>
                <w:rFonts w:hint="eastAsia" w:cs="宋体" w:asciiTheme="minorEastAsia" w:hAnsiTheme="minorEastAsia" w:eastAsiaTheme="minorEastAsia"/>
                <w:color w:val="auto"/>
                <w:sz w:val="24"/>
                <w:highlight w:val="whit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投标保证金</w:t>
            </w:r>
          </w:p>
        </w:tc>
        <w:tc>
          <w:tcPr>
            <w:tcW w:w="6954" w:type="dxa"/>
            <w:vAlign w:val="center"/>
          </w:tcPr>
          <w:p>
            <w:pPr>
              <w:jc w:val="left"/>
              <w:rPr>
                <w:rFonts w:cs="宋体" w:asciiTheme="minorEastAsia" w:hAnsiTheme="minorEastAsia" w:eastAsiaTheme="minorEastAsia"/>
                <w:color w:val="auto"/>
                <w:sz w:val="24"/>
                <w:u w:val="single"/>
              </w:rPr>
            </w:pPr>
            <w:r>
              <w:rPr>
                <w:rFonts w:hint="eastAsia" w:asciiTheme="minorEastAsia" w:hAnsiTheme="minorEastAsia" w:eastAsiaTheme="minorEastAsia"/>
                <w:color w:val="auto"/>
                <w:sz w:val="24"/>
              </w:rPr>
              <w:t>根据盐财购〔2020〕11号、苏财购〔2020〕52号文件，取消政府采购投标保证金。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是否允许递交备选方案</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fldChar w:fldCharType="begin"/>
            </w:r>
            <w:r>
              <w:rPr>
                <w:rFonts w:hint="eastAsia" w:cs="宋体" w:asciiTheme="minorEastAsia" w:hAnsiTheme="minorEastAsia" w:eastAsiaTheme="minorEastAsia"/>
                <w:color w:val="auto"/>
                <w:kern w:val="0"/>
                <w:sz w:val="24"/>
              </w:rPr>
              <w:instrText xml:space="preserve"> eq \o\ac(</w:instrText>
            </w:r>
            <w:r>
              <w:rPr>
                <w:rFonts w:hint="eastAsia" w:cs="宋体" w:asciiTheme="minorEastAsia" w:hAnsiTheme="minorEastAsia" w:eastAsiaTheme="minorEastAsia"/>
                <w:color w:val="auto"/>
                <w:kern w:val="0"/>
                <w:position w:val="-4"/>
                <w:sz w:val="36"/>
              </w:rPr>
              <w:instrText xml:space="preserve">□</w:instrText>
            </w:r>
            <w:r>
              <w:rPr>
                <w:rFonts w:hint="eastAsia" w:cs="宋体" w:asciiTheme="minorEastAsia" w:hAnsiTheme="minorEastAsia" w:eastAsiaTheme="minorEastAsia"/>
                <w:color w:val="auto"/>
                <w:kern w:val="0"/>
                <w:sz w:val="24"/>
              </w:rPr>
              <w:instrText xml:space="preserve">,√)</w:instrText>
            </w:r>
            <w:r>
              <w:rPr>
                <w:rFonts w:hint="eastAsia" w:cs="宋体" w:asciiTheme="minorEastAsia" w:hAnsiTheme="minorEastAsia" w:eastAsiaTheme="minorEastAsia"/>
                <w:color w:val="auto"/>
                <w:kern w:val="0"/>
                <w:sz w:val="24"/>
              </w:rPr>
              <w:fldChar w:fldCharType="end"/>
            </w:r>
            <w:r>
              <w:rPr>
                <w:rFonts w:hint="eastAsia" w:cs="宋体" w:asciiTheme="minorEastAsia" w:hAnsiTheme="minorEastAsia" w:eastAsiaTheme="minorEastAsia"/>
                <w:color w:val="auto"/>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3.7.3</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投标文件数量</w:t>
            </w:r>
          </w:p>
        </w:tc>
        <w:tc>
          <w:tcPr>
            <w:tcW w:w="6954" w:type="dxa"/>
            <w:vAlign w:val="center"/>
          </w:tcPr>
          <w:p>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1、开标一览表</w:t>
            </w:r>
            <w:r>
              <w:rPr>
                <w:rFonts w:hint="eastAsia" w:asciiTheme="minorEastAsia" w:hAnsiTheme="minorEastAsia" w:eastAsiaTheme="minorEastAsia"/>
                <w:color w:val="auto"/>
                <w:sz w:val="24"/>
                <w:u w:val="single"/>
              </w:rPr>
              <w:t xml:space="preserve"> 1 </w:t>
            </w:r>
            <w:r>
              <w:rPr>
                <w:rFonts w:hint="eastAsia" w:asciiTheme="minorEastAsia" w:hAnsiTheme="minorEastAsia" w:eastAsiaTheme="minorEastAsia"/>
                <w:color w:val="auto"/>
                <w:sz w:val="24"/>
              </w:rPr>
              <w:t>份；投标文件正本</w:t>
            </w:r>
            <w:r>
              <w:rPr>
                <w:rFonts w:hint="eastAsia" w:asciiTheme="minorEastAsia" w:hAnsiTheme="minorEastAsia" w:eastAsiaTheme="minorEastAsia"/>
                <w:color w:val="auto"/>
                <w:sz w:val="24"/>
                <w:u w:val="single"/>
              </w:rPr>
              <w:t xml:space="preserve"> 1 </w:t>
            </w:r>
            <w:r>
              <w:rPr>
                <w:rFonts w:hint="eastAsia" w:asciiTheme="minorEastAsia" w:hAnsiTheme="minorEastAsia" w:eastAsiaTheme="minorEastAsia"/>
                <w:color w:val="auto"/>
                <w:sz w:val="24"/>
              </w:rPr>
              <w:t>份；副本</w:t>
            </w:r>
            <w:r>
              <w:rPr>
                <w:rFonts w:hint="eastAsia" w:asciiTheme="minorEastAsia" w:hAnsiTheme="minorEastAsia" w:eastAsiaTheme="minorEastAsia"/>
                <w:color w:val="auto"/>
                <w:sz w:val="24"/>
                <w:u w:val="single"/>
              </w:rPr>
              <w:t xml:space="preserve"> 4 </w:t>
            </w:r>
            <w:r>
              <w:rPr>
                <w:rFonts w:hint="eastAsia" w:asciiTheme="minorEastAsia" w:hAnsiTheme="minorEastAsia" w:eastAsiaTheme="minorEastAsia"/>
                <w:color w:val="auto"/>
                <w:sz w:val="24"/>
              </w:rPr>
              <w:t>份。</w:t>
            </w:r>
          </w:p>
          <w:p>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2、投标人应按本招标文件规定的格式和顺序编制、装订投标文件并标注页码。</w:t>
            </w:r>
          </w:p>
          <w:p>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3、投标文件的封面应注明“正本”、“副本”字样。</w:t>
            </w:r>
          </w:p>
          <w:p>
            <w:pPr>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 w:val="24"/>
              </w:rPr>
              <w:t>4、投标文件须采用胶装、热熔装订。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3.7.4</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投标文件装订要求</w:t>
            </w:r>
          </w:p>
        </w:tc>
        <w:tc>
          <w:tcPr>
            <w:tcW w:w="6954" w:type="dxa"/>
            <w:vAlign w:val="center"/>
          </w:tcPr>
          <w:p>
            <w:pPr>
              <w:pStyle w:val="245"/>
              <w:jc w:val="left"/>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投标人应密封封装投标文件，密封袋包装封面上应注明投标人名称、投标项目名称、项目编号、“开标时启封”字样，并加盖投标人公章。</w:t>
            </w:r>
          </w:p>
          <w:p>
            <w:pPr>
              <w:pStyle w:val="245"/>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b/>
                <w:color w:val="auto"/>
                <w:sz w:val="24"/>
              </w:rPr>
              <w:t>本项目分为2个文件袋密封，分为“投标文件”“开标一览表”。其中投标文件正副本统一装入“投标文件袋”，开标一览表单独封装，用于唱标。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投标文件递交截止时间和地点</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时间：2022年 </w:t>
            </w:r>
            <w:r>
              <w:rPr>
                <w:rFonts w:hint="eastAsia" w:cs="宋体" w:asciiTheme="minorEastAsia" w:hAnsiTheme="minorEastAsia" w:eastAsiaTheme="minorEastAsia"/>
                <w:color w:val="auto"/>
                <w:sz w:val="24"/>
                <w:lang w:val="en-US" w:eastAsia="zh-CN"/>
              </w:rPr>
              <w:t>2</w:t>
            </w:r>
            <w:r>
              <w:rPr>
                <w:rFonts w:hint="eastAsia" w:cs="宋体" w:asciiTheme="minorEastAsia" w:hAnsiTheme="minorEastAsia" w:eastAsiaTheme="minorEastAsia"/>
                <w:color w:val="auto"/>
                <w:sz w:val="24"/>
              </w:rPr>
              <w:t xml:space="preserve"> 月 </w:t>
            </w:r>
            <w:r>
              <w:rPr>
                <w:rFonts w:hint="eastAsia" w:cs="宋体" w:asciiTheme="minorEastAsia" w:hAnsiTheme="minorEastAsia" w:eastAsiaTheme="minorEastAsia"/>
                <w:color w:val="auto"/>
                <w:sz w:val="24"/>
                <w:lang w:val="en-US" w:eastAsia="zh-CN"/>
              </w:rPr>
              <w:t>17</w:t>
            </w:r>
            <w:r>
              <w:rPr>
                <w:rFonts w:hint="eastAsia" w:cs="宋体" w:asciiTheme="minorEastAsia" w:hAnsiTheme="minorEastAsia" w:eastAsiaTheme="minorEastAsia"/>
                <w:color w:val="auto"/>
                <w:sz w:val="24"/>
              </w:rPr>
              <w:t xml:space="preserve">日 </w:t>
            </w:r>
            <w:r>
              <w:rPr>
                <w:rFonts w:hint="eastAsia" w:cs="宋体" w:asciiTheme="minorEastAsia" w:hAnsiTheme="minorEastAsia" w:eastAsiaTheme="minorEastAsia"/>
                <w:color w:val="auto"/>
                <w:sz w:val="24"/>
                <w:lang w:val="en-US" w:eastAsia="zh-CN"/>
              </w:rPr>
              <w:t>10</w:t>
            </w:r>
            <w:r>
              <w:rPr>
                <w:rFonts w:hint="eastAsia" w:cs="宋体" w:asciiTheme="minorEastAsia" w:hAnsiTheme="minorEastAsia" w:eastAsiaTheme="minorEastAsia"/>
                <w:color w:val="auto"/>
                <w:sz w:val="24"/>
              </w:rPr>
              <w:t xml:space="preserve"> 时</w:t>
            </w:r>
            <w:r>
              <w:rPr>
                <w:rFonts w:hint="eastAsia" w:cs="宋体" w:asciiTheme="minorEastAsia" w:hAnsiTheme="minorEastAsia" w:eastAsiaTheme="minorEastAsia"/>
                <w:color w:val="auto"/>
                <w:sz w:val="24"/>
                <w:lang w:val="en-US" w:eastAsia="zh-CN"/>
              </w:rPr>
              <w:t>00</w:t>
            </w:r>
            <w:r>
              <w:rPr>
                <w:rFonts w:hint="eastAsia" w:cs="宋体" w:asciiTheme="minorEastAsia" w:hAnsiTheme="minorEastAsia" w:eastAsiaTheme="minorEastAsia"/>
                <w:color w:val="auto"/>
                <w:sz w:val="24"/>
              </w:rPr>
              <w:t xml:space="preserve"> 分</w:t>
            </w:r>
            <w:r>
              <w:rPr>
                <w:rFonts w:hint="eastAsia" w:cs="宋体" w:asciiTheme="minorEastAsia" w:hAnsiTheme="minorEastAsia" w:eastAsiaTheme="minorEastAsia"/>
                <w:color w:val="auto"/>
                <w:sz w:val="24"/>
                <w:lang w:val="en-US" w:eastAsia="zh-CN"/>
              </w:rPr>
              <w:t>00</w:t>
            </w:r>
            <w:r>
              <w:rPr>
                <w:rFonts w:hint="eastAsia" w:cs="宋体" w:asciiTheme="minorEastAsia" w:hAnsiTheme="minorEastAsia" w:eastAsiaTheme="minorEastAsia"/>
                <w:color w:val="auto"/>
                <w:sz w:val="24"/>
              </w:rPr>
              <w:t xml:space="preserve"> 秒</w:t>
            </w:r>
          </w:p>
          <w:p>
            <w:pPr>
              <w:widowControl/>
              <w:shd w:val="clear" w:color="auto" w:fill="FFFFFF"/>
              <w:spacing w:line="360" w:lineRule="auto"/>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地点：</w:t>
            </w:r>
            <w:r>
              <w:rPr>
                <w:rFonts w:hint="eastAsia" w:ascii="宋体" w:hAnsi="宋体" w:cs="宋体"/>
                <w:color w:val="auto"/>
                <w:sz w:val="24"/>
              </w:rPr>
              <w:t>盐城市大丰区市民服务中心大楼二楼西侧大厅，北大门进，右侧自动扶梯上（详细地址：盐城市大丰区飞达东路100号）。投标人进入大楼和递交投标文件过程须严格执行本地动态疫情防控政策</w:t>
            </w:r>
            <w:r>
              <w:rPr>
                <w:rFonts w:hint="eastAsia" w:cs="宋体" w:asciiTheme="minorEastAsia" w:hAnsiTheme="minorEastAsia" w:eastAsiaTheme="minorEastAsia"/>
                <w:color w:val="auto"/>
                <w:sz w:val="24"/>
              </w:rPr>
              <w:t>，逾期送达或者未送达指定地点的投标文件，招标人不予受理。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4.2.3</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是否退还投标文件</w:t>
            </w:r>
          </w:p>
        </w:tc>
        <w:tc>
          <w:tcPr>
            <w:tcW w:w="6954" w:type="dxa"/>
            <w:vAlign w:val="center"/>
          </w:tcPr>
          <w:p>
            <w:pPr>
              <w:spacing w:line="300" w:lineRule="exact"/>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fldChar w:fldCharType="begin"/>
            </w:r>
            <w:r>
              <w:rPr>
                <w:rFonts w:hint="eastAsia" w:cs="宋体" w:asciiTheme="minorEastAsia" w:hAnsiTheme="minorEastAsia" w:eastAsiaTheme="minorEastAsia"/>
                <w:color w:val="auto"/>
                <w:kern w:val="0"/>
                <w:sz w:val="24"/>
              </w:rPr>
              <w:instrText xml:space="preserve"> eq \o\ac(</w:instrText>
            </w:r>
            <w:r>
              <w:rPr>
                <w:rFonts w:hint="eastAsia" w:cs="宋体" w:asciiTheme="minorEastAsia" w:hAnsiTheme="minorEastAsia" w:eastAsiaTheme="minorEastAsia"/>
                <w:color w:val="auto"/>
                <w:kern w:val="0"/>
                <w:position w:val="-4"/>
                <w:sz w:val="36"/>
              </w:rPr>
              <w:instrText xml:space="preserve">□</w:instrText>
            </w:r>
            <w:r>
              <w:rPr>
                <w:rFonts w:hint="eastAsia" w:cs="宋体" w:asciiTheme="minorEastAsia" w:hAnsiTheme="minorEastAsia" w:eastAsiaTheme="minorEastAsia"/>
                <w:color w:val="auto"/>
                <w:kern w:val="0"/>
                <w:sz w:val="24"/>
              </w:rPr>
              <w:instrText xml:space="preserve">,√)</w:instrText>
            </w:r>
            <w:r>
              <w:rPr>
                <w:rFonts w:hint="eastAsia" w:cs="宋体" w:asciiTheme="minorEastAsia" w:hAnsiTheme="minorEastAsia" w:eastAsiaTheme="minorEastAsia"/>
                <w:color w:val="auto"/>
                <w:kern w:val="0"/>
                <w:sz w:val="24"/>
              </w:rPr>
              <w:fldChar w:fldCharType="end"/>
            </w:r>
            <w:r>
              <w:rPr>
                <w:rFonts w:hint="eastAsia" w:cs="宋体" w:asciiTheme="minorEastAsia" w:hAnsiTheme="minorEastAsia" w:eastAsiaTheme="minorEastAsia"/>
                <w:color w:val="auto"/>
                <w:sz w:val="24"/>
              </w:rPr>
              <w:t>否，原件除外</w:t>
            </w:r>
          </w:p>
          <w:p>
            <w:pPr>
              <w:spacing w:line="300" w:lineRule="exact"/>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kern w:val="0"/>
                <w:sz w:val="24"/>
              </w:rPr>
              <w:sym w:font="Wingdings 2" w:char="00A3"/>
            </w:r>
            <w:r>
              <w:rPr>
                <w:rFonts w:hint="eastAsia" w:cs="宋体" w:asciiTheme="minorEastAsia" w:hAnsiTheme="minorEastAsia" w:eastAsiaTheme="minorEastAsia"/>
                <w:color w:val="auto"/>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开标时间和地点</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开标时间：同投标截止时间</w:t>
            </w:r>
          </w:p>
          <w:p>
            <w:pPr>
              <w:jc w:val="left"/>
              <w:rPr>
                <w:rFonts w:cs="宋体" w:asciiTheme="minorEastAsia" w:hAnsiTheme="minorEastAsia" w:eastAsiaTheme="minorEastAsia"/>
                <w:color w:val="auto"/>
                <w:sz w:val="24"/>
                <w:u w:val="single"/>
              </w:rPr>
            </w:pPr>
            <w:r>
              <w:rPr>
                <w:rFonts w:hint="eastAsia" w:cs="宋体" w:asciiTheme="minorEastAsia" w:hAnsiTheme="minorEastAsia" w:eastAsiaTheme="minorEastAsia"/>
                <w:color w:val="auto"/>
                <w:sz w:val="24"/>
              </w:rPr>
              <w:t>开标地点：盐城市大丰区公共资源交易中心开标</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val="en-US" w:eastAsia="zh-CN"/>
              </w:rPr>
              <w:t>一</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室（</w:t>
            </w:r>
            <w:r>
              <w:rPr>
                <w:rFonts w:hint="eastAsia" w:ascii="宋体" w:hAnsi="宋体" w:cs="宋体"/>
                <w:color w:val="auto"/>
                <w:sz w:val="24"/>
              </w:rPr>
              <w:t>盐城市大丰区市民服务中心大楼</w:t>
            </w:r>
            <w:r>
              <w:rPr>
                <w:rFonts w:hint="eastAsia" w:cs="宋体" w:asciiTheme="minorEastAsia" w:hAnsiTheme="minorEastAsia" w:eastAsiaTheme="minorEastAsia"/>
                <w:color w:val="auto"/>
                <w:sz w:val="24"/>
              </w:rPr>
              <w:t>4楼，盐城市大丰区丰华路与飞达路交叉西150米）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是否授权评标委员会确定中标人</w:t>
            </w:r>
          </w:p>
        </w:tc>
        <w:tc>
          <w:tcPr>
            <w:tcW w:w="6954" w:type="dxa"/>
            <w:vAlign w:val="center"/>
          </w:tcPr>
          <w:p>
            <w:pPr>
              <w:spacing w:line="400" w:lineRule="exact"/>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sym w:font="Wingdings 2" w:char="00A3"/>
            </w:r>
            <w:r>
              <w:rPr>
                <w:rFonts w:hint="eastAsia" w:cs="宋体" w:asciiTheme="minorEastAsia" w:hAnsiTheme="minorEastAsia" w:eastAsiaTheme="minorEastAsia"/>
                <w:color w:val="auto"/>
                <w:kern w:val="0"/>
                <w:sz w:val="24"/>
              </w:rPr>
              <w:t>是</w:t>
            </w:r>
          </w:p>
          <w:p>
            <w:pPr>
              <w:spacing w:line="400" w:lineRule="exact"/>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fldChar w:fldCharType="begin"/>
            </w:r>
            <w:r>
              <w:rPr>
                <w:rFonts w:hint="eastAsia" w:cs="宋体" w:asciiTheme="minorEastAsia" w:hAnsiTheme="minorEastAsia" w:eastAsiaTheme="minorEastAsia"/>
                <w:color w:val="auto"/>
                <w:kern w:val="0"/>
                <w:sz w:val="24"/>
              </w:rPr>
              <w:instrText xml:space="preserve"> eq \o\ac(</w:instrText>
            </w:r>
            <w:r>
              <w:rPr>
                <w:rFonts w:hint="eastAsia" w:cs="宋体" w:asciiTheme="minorEastAsia" w:hAnsiTheme="minorEastAsia" w:eastAsiaTheme="minorEastAsia"/>
                <w:color w:val="auto"/>
                <w:kern w:val="0"/>
                <w:position w:val="-4"/>
                <w:sz w:val="36"/>
              </w:rPr>
              <w:instrText xml:space="preserve">□</w:instrText>
            </w:r>
            <w:r>
              <w:rPr>
                <w:rFonts w:hint="eastAsia" w:cs="宋体" w:asciiTheme="minorEastAsia" w:hAnsiTheme="minorEastAsia" w:eastAsiaTheme="minorEastAsia"/>
                <w:color w:val="auto"/>
                <w:kern w:val="0"/>
                <w:sz w:val="24"/>
              </w:rPr>
              <w:instrText xml:space="preserve">,√)</w:instrText>
            </w:r>
            <w:r>
              <w:rPr>
                <w:rFonts w:hint="eastAsia" w:cs="宋体" w:asciiTheme="minorEastAsia" w:hAnsiTheme="minorEastAsia" w:eastAsiaTheme="minorEastAsia"/>
                <w:color w:val="auto"/>
                <w:kern w:val="0"/>
                <w:sz w:val="24"/>
              </w:rPr>
              <w:fldChar w:fldCharType="end"/>
            </w:r>
            <w:r>
              <w:rPr>
                <w:rFonts w:hint="eastAsia" w:cs="宋体" w:asciiTheme="minorEastAsia" w:hAnsiTheme="minorEastAsia" w:eastAsiaTheme="minorEastAsia"/>
                <w:color w:val="auto"/>
                <w:kern w:val="0"/>
                <w:sz w:val="24"/>
              </w:rPr>
              <w:t xml:space="preserve">否 </w:t>
            </w:r>
            <w:r>
              <w:rPr>
                <w:rFonts w:hint="eastAsia" w:asciiTheme="minorEastAsia" w:hAnsiTheme="minorEastAsia" w:eastAsiaTheme="minorEastAsia"/>
                <w:color w:val="auto"/>
                <w:sz w:val="24"/>
              </w:rPr>
              <w:t>评标委员会按照最终得分由高至低的次序排列1-3名。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8.3</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履约保证金</w:t>
            </w:r>
          </w:p>
        </w:tc>
        <w:tc>
          <w:tcPr>
            <w:tcW w:w="6954" w:type="dxa"/>
            <w:vAlign w:val="center"/>
          </w:tcPr>
          <w:p>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合同签订后3个工作日内向招标人提交履约保证金。</w:t>
            </w:r>
          </w:p>
          <w:p>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履约保证金的形式：电汇、转账、履约担保或者投标人基本账户开户行出具的保函。采用保函时，供应商应保证保函有效，所需的费用由供应商承担。</w:t>
            </w:r>
          </w:p>
          <w:p>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履约保证金的金额：中标价的10%。</w:t>
            </w:r>
          </w:p>
          <w:p>
            <w:pPr>
              <w:pStyle w:val="19"/>
              <w:rPr>
                <w:rFonts w:asciiTheme="minorEastAsia" w:hAnsiTheme="minorEastAsia" w:eastAsiaTheme="minorEastAsia"/>
                <w:color w:val="auto"/>
                <w:sz w:val="24"/>
              </w:rPr>
            </w:pPr>
            <w:r>
              <w:rPr>
                <w:rFonts w:hint="eastAsia" w:asciiTheme="minorEastAsia" w:hAnsiTheme="minorEastAsia" w:eastAsiaTheme="minorEastAsia"/>
                <w:color w:val="auto"/>
                <w:sz w:val="24"/>
              </w:rPr>
              <w:t>履约保证金的退还：合同履行完毕后一次性无息退还。</w:t>
            </w:r>
          </w:p>
          <w:p>
            <w:pPr>
              <w:pStyle w:val="19"/>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采购人应当对提供＂信用中国(江苏盐城)＂备案的第三方信用报告AA评级及以上政府采购供应商，免收履约保证金或降低履约保证金缴纳比例。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10.3</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付款方式</w:t>
            </w:r>
          </w:p>
        </w:tc>
        <w:tc>
          <w:tcPr>
            <w:tcW w:w="6954" w:type="dxa"/>
            <w:vAlign w:val="center"/>
          </w:tcPr>
          <w:p>
            <w:pPr>
              <w:numPr>
                <w:ilvl w:val="255"/>
                <w:numId w:val="0"/>
              </w:numPr>
              <w:jc w:val="left"/>
              <w:rPr>
                <w:rFonts w:cs="宋体" w:asciiTheme="minorEastAsia" w:hAnsiTheme="minorEastAsia" w:eastAsiaTheme="minorEastAsia"/>
                <w:bCs/>
                <w:color w:val="auto"/>
                <w:sz w:val="24"/>
              </w:rPr>
            </w:pPr>
            <w:r>
              <w:rPr>
                <w:rFonts w:hint="eastAsia" w:ascii="宋体" w:hAnsi="宋体" w:cs="宋体"/>
                <w:bCs/>
                <w:color w:val="auto"/>
                <w:sz w:val="24"/>
              </w:rPr>
              <w:t>合同签订后7个工作日内付10%预付款，项目验收合格并经审核结束后付至审核价款的95%，余款待审核结束且服务期满后无息付清。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10.4</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收费标准</w:t>
            </w:r>
          </w:p>
        </w:tc>
        <w:tc>
          <w:tcPr>
            <w:tcW w:w="6954" w:type="dxa"/>
            <w:vAlign w:val="center"/>
          </w:tcPr>
          <w:p>
            <w:pPr>
              <w:jc w:val="left"/>
              <w:rPr>
                <w:rFonts w:cs="宋体" w:asciiTheme="minorEastAsia" w:hAnsiTheme="minorEastAsia" w:eastAsiaTheme="minorEastAsia"/>
                <w:color w:val="auto"/>
                <w:sz w:val="24"/>
              </w:rPr>
            </w:pPr>
            <w:r>
              <w:rPr>
                <w:rFonts w:hint="eastAsia" w:cs="宋体" w:asciiTheme="minorEastAsia" w:hAnsiTheme="minorEastAsia" w:eastAsiaTheme="minorEastAsia"/>
                <w:bCs/>
                <w:color w:val="auto"/>
                <w:sz w:val="24"/>
              </w:rPr>
              <w:t>本项目招标代理费向中标单位收取，招标代理费参照国家发改价格[2011]534号文件规定服务类标准*40%缴纳；请投标人考虑在投标报价中，但不单列。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5"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922" w:type="dxa"/>
            <w:vAlign w:val="center"/>
          </w:tcPr>
          <w:p>
            <w:pPr>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不见面开标</w:t>
            </w:r>
          </w:p>
        </w:tc>
        <w:tc>
          <w:tcPr>
            <w:tcW w:w="6954" w:type="dxa"/>
            <w:vAlign w:val="center"/>
          </w:tcPr>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纸质文件开标。开标当日，投标人无需到达开标现场，仅需在任意地点通过 PC端或移动端的“腾讯会议”及相应的配套硬件设备参加开标会议。</w:t>
            </w:r>
          </w:p>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参加会议的方法：电脑或智能手机可以搜索下载并安装“腾讯会议”，注册完成后点击“加入会议”，输入会议号</w:t>
            </w:r>
            <w:r>
              <w:rPr>
                <w:rFonts w:hint="eastAsia" w:cs="宋体" w:asciiTheme="minorEastAsia" w:hAnsiTheme="minorEastAsia" w:eastAsiaTheme="minorEastAsia"/>
                <w:b/>
                <w:color w:val="auto"/>
                <w:sz w:val="24"/>
              </w:rPr>
              <w:t>“</w:t>
            </w:r>
            <w:r>
              <w:rPr>
                <w:rFonts w:hint="eastAsia" w:cs="宋体" w:asciiTheme="minorEastAsia" w:hAnsiTheme="minorEastAsia" w:eastAsiaTheme="minorEastAsia"/>
                <w:color w:val="auto"/>
                <w:kern w:val="0"/>
                <w:sz w:val="24"/>
                <w:u w:val="single"/>
                <w:shd w:val="clear" w:color="auto" w:fill="FFFFFF"/>
                <w:lang w:val="en-US" w:eastAsia="zh-CN"/>
              </w:rPr>
              <w:t>788-951-048</w:t>
            </w:r>
            <w:r>
              <w:rPr>
                <w:rFonts w:hint="eastAsia" w:cs="宋体" w:asciiTheme="minorEastAsia" w:hAnsiTheme="minorEastAsia" w:eastAsiaTheme="minorEastAsia"/>
                <w:b/>
                <w:color w:val="auto"/>
                <w:sz w:val="24"/>
              </w:rPr>
              <w:t>”</w:t>
            </w:r>
            <w:r>
              <w:rPr>
                <w:rFonts w:hint="eastAsia" w:cs="宋体" w:asciiTheme="minorEastAsia" w:hAnsiTheme="minorEastAsia" w:eastAsiaTheme="minorEastAsia"/>
                <w:bCs/>
                <w:color w:val="auto"/>
                <w:sz w:val="24"/>
              </w:rPr>
              <w:t>，“您的姓名”按“单位简称+授权委托人姓名”格式填写，然后点击“加入会议”。会议系统将在投标截止时间前10分钟开放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911" w:type="dxa"/>
            <w:gridSpan w:val="3"/>
            <w:vAlign w:val="center"/>
          </w:tcPr>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注意：因本项目采用不见面开标模式，故招标人特别说明如下：</w:t>
            </w:r>
          </w:p>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1、由于本项目时间紧、任务重，又恰逢防控新型冠状病毒肺炎疫情期，因何种原因无法在规定的时间内递交投标文件的，视同放弃此次投标机会，不得向招标人、监管部门、招标代理机构等所有相关部门追责。</w:t>
            </w:r>
          </w:p>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2、开标当日，投标人不必抵达开标现场，按前文叙述参加开标会议，并根据需要使用开标会议系统与现场招标人（招标代理机构）进行互动交流、澄清、提疑等活动，投标人与招标人（招标代理机构）的互动交流、澄清、提疑等均在开标会议中以书面形式提交。</w:t>
            </w:r>
          </w:p>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3、开标时间前 10 分钟，招标人、招标代理机构将开放开标会议系统。各投标人的授权委托人或法人代表于规定时间内进入开标会议系统收听观看实时音视频交互并及时在聊天界面中反馈，未按时加入开标会议系统的或未能在开标会议系统内全程参与交互的，视为放弃交互和放弃对开标全过程提疑的权利，投标人无法看到唱标、开标结果等实时情况，导致的一切后果由投标人承担。</w:t>
            </w:r>
          </w:p>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开标时也会核验各投标人参与开标的人员的身份，须手持有效身份证件给招标人核验，否则其投标将被拒绝。</w:t>
            </w:r>
          </w:p>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w:t>
            </w:r>
          </w:p>
          <w:p>
            <w:pPr>
              <w:jc w:val="left"/>
              <w:rPr>
                <w:rFonts w:cs="宋体" w:asciiTheme="minorEastAsia" w:hAnsiTheme="minorEastAsia" w:eastAsiaTheme="minorEastAsia"/>
                <w:bCs/>
                <w:color w:val="auto"/>
                <w:sz w:val="24"/>
              </w:rPr>
            </w:pPr>
            <w:r>
              <w:rPr>
                <w:rFonts w:hint="eastAsia" w:cs="宋体" w:asciiTheme="minorEastAsia" w:hAnsiTheme="minorEastAsia" w:eastAsiaTheme="minorEastAsia"/>
                <w:bCs/>
                <w:color w:val="auto"/>
                <w:sz w:val="24"/>
              </w:rPr>
              <w:t>6、投标人如对上述腾讯会议软件等有疑问的，请尽早和软件公司的服务人员或其他专业人员联系，他们会根据投标人要求，提供必要的培训和技术支持。</w:t>
            </w:r>
          </w:p>
          <w:p>
            <w:pPr>
              <w:jc w:val="left"/>
              <w:rPr>
                <w:rFonts w:cs="宋体" w:asciiTheme="minorEastAsia" w:hAnsiTheme="minorEastAsia" w:eastAsiaTheme="minorEastAsia"/>
                <w:b/>
                <w:color w:val="auto"/>
                <w:sz w:val="24"/>
              </w:rPr>
            </w:pPr>
            <w:r>
              <w:rPr>
                <w:rFonts w:hint="eastAsia" w:cs="宋体" w:asciiTheme="minorEastAsia" w:hAnsiTheme="minorEastAsia" w:eastAsiaTheme="minorEastAsia"/>
                <w:bCs/>
                <w:color w:val="auto"/>
                <w:sz w:val="24"/>
              </w:rPr>
              <w:t>腾讯客服联系方式：0755-83765566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11" w:type="dxa"/>
            <w:gridSpan w:val="3"/>
            <w:vAlign w:val="center"/>
          </w:tcPr>
          <w:p>
            <w:pP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特别提醒：</w:t>
            </w:r>
          </w:p>
          <w:p>
            <w:pPr>
              <w:numPr>
                <w:ilvl w:val="0"/>
                <w:numId w:val="3"/>
              </w:numPr>
              <w:ind w:firstLine="480" w:firstLineChars="200"/>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招标人会根据招标需要，可能会不定期在大丰公共资源交易平台上</w:t>
            </w:r>
            <w:r>
              <w:rPr>
                <w:rStyle w:val="52"/>
                <w:rFonts w:hint="eastAsia" w:cs="宋体" w:asciiTheme="minorEastAsia" w:hAnsiTheme="minorEastAsia" w:eastAsiaTheme="minorEastAsia"/>
                <w:b/>
                <w:color w:val="auto"/>
                <w:sz w:val="24"/>
              </w:rPr>
              <w:t>(http://ggzy.dafeng.gov.cn/dfweb/)</w:t>
            </w:r>
            <w:r>
              <w:rPr>
                <w:rFonts w:hint="eastAsia" w:cs="宋体" w:asciiTheme="minorEastAsia" w:hAnsiTheme="minorEastAsia" w:eastAsiaTheme="minorEastAsia"/>
                <w:b/>
                <w:color w:val="auto"/>
                <w:sz w:val="24"/>
              </w:rPr>
              <w:t>发布该项目补充答疑等澄清修改文件，请各投标人自行网上查询，未能及时查阅响应而影响投标的，结果由投标人负责。</w:t>
            </w:r>
          </w:p>
        </w:tc>
      </w:tr>
    </w:tbl>
    <w:p>
      <w:pPr>
        <w:rPr>
          <w:rFonts w:ascii="宋体" w:hAnsi="宋体" w:cs="宋体"/>
          <w:b/>
          <w:color w:val="auto"/>
          <w:sz w:val="32"/>
          <w:szCs w:val="32"/>
        </w:rPr>
      </w:pPr>
      <w:bookmarkStart w:id="25" w:name="_Toc363329370"/>
      <w:bookmarkStart w:id="26" w:name="_Toc368760427"/>
      <w:bookmarkStart w:id="27" w:name="_Toc18948"/>
      <w:bookmarkStart w:id="28" w:name="_Toc387526283"/>
      <w:bookmarkStart w:id="29" w:name="_Toc369077561"/>
      <w:bookmarkStart w:id="30" w:name="_Toc387526179"/>
      <w:bookmarkStart w:id="31" w:name="_Toc184635071"/>
      <w:bookmarkStart w:id="32" w:name="_Toc387526375"/>
      <w:bookmarkStart w:id="33" w:name="_Toc397928549"/>
      <w:bookmarkStart w:id="34" w:name="_Toc368759375"/>
      <w:bookmarkStart w:id="35" w:name="_Toc367894798"/>
      <w:r>
        <w:rPr>
          <w:rFonts w:hint="eastAsia" w:ascii="宋体" w:hAnsi="宋体" w:cs="宋体"/>
          <w:b/>
          <w:color w:val="auto"/>
          <w:sz w:val="32"/>
          <w:szCs w:val="32"/>
        </w:rPr>
        <w:br w:type="page"/>
      </w:r>
      <w:r>
        <w:rPr>
          <w:rFonts w:hint="eastAsia" w:ascii="宋体" w:hAnsi="宋体" w:cs="宋体"/>
          <w:b/>
          <w:color w:val="auto"/>
          <w:sz w:val="32"/>
          <w:szCs w:val="32"/>
        </w:rPr>
        <w:t>1.总则</w:t>
      </w:r>
      <w:bookmarkEnd w:id="25"/>
      <w:bookmarkEnd w:id="26"/>
      <w:bookmarkEnd w:id="27"/>
      <w:bookmarkEnd w:id="28"/>
      <w:bookmarkEnd w:id="29"/>
      <w:bookmarkEnd w:id="30"/>
      <w:bookmarkEnd w:id="31"/>
      <w:bookmarkEnd w:id="32"/>
      <w:bookmarkEnd w:id="33"/>
      <w:bookmarkEnd w:id="34"/>
      <w:bookmarkEnd w:id="35"/>
    </w:p>
    <w:p>
      <w:pPr>
        <w:pStyle w:val="5"/>
        <w:spacing w:before="60" w:after="60" w:line="360" w:lineRule="auto"/>
        <w:ind w:firstLine="118"/>
        <w:rPr>
          <w:rFonts w:ascii="宋体" w:hAnsi="宋体" w:eastAsia="宋体" w:cs="宋体"/>
          <w:color w:val="auto"/>
          <w:szCs w:val="24"/>
          <w:highlight w:val="white"/>
        </w:rPr>
      </w:pPr>
      <w:bookmarkStart w:id="36" w:name="_Toc387526376"/>
      <w:bookmarkStart w:id="37" w:name="_Toc397928550"/>
      <w:bookmarkStart w:id="38" w:name="_Toc511142439"/>
      <w:bookmarkStart w:id="39" w:name="_Toc5365"/>
      <w:bookmarkStart w:id="40" w:name="_Toc387526284"/>
      <w:bookmarkStart w:id="41" w:name="_Toc387526180"/>
      <w:r>
        <w:rPr>
          <w:rFonts w:hint="eastAsia" w:ascii="宋体" w:hAnsi="宋体" w:eastAsia="宋体" w:cs="宋体"/>
          <w:color w:val="auto"/>
          <w:szCs w:val="24"/>
          <w:highlight w:val="white"/>
        </w:rPr>
        <w:t>1.1 项目概况</w:t>
      </w:r>
      <w:bookmarkEnd w:id="36"/>
      <w:bookmarkEnd w:id="37"/>
      <w:bookmarkEnd w:id="38"/>
      <w:bookmarkEnd w:id="39"/>
      <w:bookmarkEnd w:id="40"/>
      <w:bookmarkEnd w:id="41"/>
    </w:p>
    <w:p>
      <w:pPr>
        <w:spacing w:line="400" w:lineRule="exact"/>
        <w:ind w:firstLine="480" w:firstLineChars="200"/>
        <w:rPr>
          <w:rFonts w:ascii="宋体" w:hAnsi="宋体" w:cs="宋体"/>
          <w:color w:val="auto"/>
          <w:sz w:val="24"/>
          <w:highlight w:val="white"/>
        </w:rPr>
      </w:pPr>
      <w:r>
        <w:rPr>
          <w:rFonts w:hint="eastAsia" w:ascii="宋体" w:hAnsi="宋体" w:cs="宋体"/>
          <w:color w:val="auto"/>
          <w:sz w:val="24"/>
          <w:highlight w:val="white"/>
        </w:rPr>
        <w:t>1.1.1根据有关法律、法规和规章的规定，本招标项目已具备招标条件，现对本项目</w:t>
      </w:r>
      <w:r>
        <w:rPr>
          <w:rFonts w:hint="eastAsia" w:ascii="宋体" w:hAnsi="宋体" w:cs="宋体"/>
          <w:color w:val="auto"/>
          <w:sz w:val="24"/>
        </w:rPr>
        <w:t>服务</w:t>
      </w:r>
      <w:r>
        <w:rPr>
          <w:rFonts w:hint="eastAsia" w:ascii="宋体" w:hAnsi="宋体" w:cs="宋体"/>
          <w:color w:val="auto"/>
          <w:sz w:val="24"/>
          <w:highlight w:val="white"/>
        </w:rPr>
        <w:t>进行招标。本项目所属行业为</w:t>
      </w:r>
      <w:r>
        <w:rPr>
          <w:rFonts w:hint="eastAsia" w:ascii="宋体" w:hAnsi="宋体" w:cs="宋体"/>
          <w:color w:val="auto"/>
          <w:sz w:val="24"/>
        </w:rPr>
        <w:t>信息传输业</w:t>
      </w:r>
      <w:r>
        <w:rPr>
          <w:rFonts w:hint="eastAsia" w:ascii="宋体" w:hAnsi="宋体" w:cs="宋体"/>
          <w:color w:val="auto"/>
          <w:sz w:val="24"/>
          <w:highlight w:val="white"/>
        </w:rPr>
        <w:t>。</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1.1.2本招标项目招标人：见投标人须知前附表。</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1.1.3本招标项目招标代理机构：见投标人须知前附表。</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1.1.4本招标项目名称：见投标人须知前附表。</w:t>
      </w:r>
    </w:p>
    <w:p>
      <w:pPr>
        <w:pStyle w:val="5"/>
        <w:spacing w:before="60" w:after="60" w:line="360" w:lineRule="auto"/>
        <w:ind w:firstLine="118"/>
        <w:rPr>
          <w:rFonts w:ascii="宋体" w:hAnsi="宋体" w:eastAsia="宋体" w:cs="宋体"/>
          <w:color w:val="auto"/>
          <w:szCs w:val="24"/>
          <w:highlight w:val="white"/>
        </w:rPr>
      </w:pPr>
      <w:bookmarkStart w:id="42" w:name="_Toc511142440"/>
      <w:bookmarkStart w:id="43" w:name="_Toc11796"/>
      <w:bookmarkStart w:id="44" w:name="_Toc387526377"/>
      <w:bookmarkStart w:id="45" w:name="_Toc397928551"/>
      <w:bookmarkStart w:id="46" w:name="_Toc387526285"/>
      <w:bookmarkStart w:id="47" w:name="_Toc387526181"/>
      <w:r>
        <w:rPr>
          <w:rFonts w:hint="eastAsia" w:ascii="宋体" w:hAnsi="宋体" w:eastAsia="宋体" w:cs="宋体"/>
          <w:color w:val="auto"/>
          <w:szCs w:val="24"/>
          <w:highlight w:val="white"/>
        </w:rPr>
        <w:t>1.2 资金来源和落实情况</w:t>
      </w:r>
      <w:bookmarkEnd w:id="42"/>
      <w:bookmarkEnd w:id="43"/>
      <w:bookmarkEnd w:id="44"/>
      <w:bookmarkEnd w:id="45"/>
      <w:bookmarkEnd w:id="46"/>
      <w:bookmarkEnd w:id="47"/>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1.2.1本招标项目的资金来源：见投标人须知前附表。</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1.2.2本招标项目的出资比例：见投标人须知前附表。</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1.2.3本招标项目的资金落实情况：见投标人须知前附表。</w:t>
      </w:r>
    </w:p>
    <w:p>
      <w:pPr>
        <w:pStyle w:val="5"/>
        <w:spacing w:before="60" w:after="60" w:line="360" w:lineRule="auto"/>
        <w:ind w:firstLine="118"/>
        <w:rPr>
          <w:rFonts w:ascii="宋体" w:hAnsi="宋体" w:eastAsia="宋体" w:cs="宋体"/>
          <w:color w:val="auto"/>
          <w:szCs w:val="24"/>
          <w:highlight w:val="white"/>
        </w:rPr>
      </w:pPr>
      <w:bookmarkStart w:id="48" w:name="_Toc397928552"/>
      <w:bookmarkStart w:id="49" w:name="_Toc853"/>
      <w:bookmarkStart w:id="50" w:name="_Toc387526182"/>
      <w:bookmarkStart w:id="51" w:name="_Toc511142441"/>
      <w:bookmarkStart w:id="52" w:name="_Toc387526378"/>
      <w:bookmarkStart w:id="53" w:name="_Toc387526286"/>
      <w:r>
        <w:rPr>
          <w:rFonts w:hint="eastAsia" w:ascii="宋体" w:hAnsi="宋体" w:eastAsia="宋体" w:cs="宋体"/>
          <w:color w:val="auto"/>
          <w:szCs w:val="24"/>
          <w:highlight w:val="white"/>
        </w:rPr>
        <w:t>1.3 招标范围、服务期和质量要求</w:t>
      </w:r>
      <w:bookmarkEnd w:id="48"/>
      <w:bookmarkEnd w:id="49"/>
      <w:bookmarkEnd w:id="50"/>
      <w:bookmarkEnd w:id="51"/>
      <w:bookmarkEnd w:id="52"/>
      <w:bookmarkEnd w:id="53"/>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1.3.1本次招标范围：见投标人须知前附表。</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1.3.2本招标项目的服务期：见投标人须知前附表。</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1.3.3本招标项目的服务地点：见投标人须知前附表。</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1.3.4本招标项目的质量要求及验收标准：见投标人须知前附表。</w:t>
      </w:r>
    </w:p>
    <w:p>
      <w:pPr>
        <w:pStyle w:val="5"/>
        <w:spacing w:before="60" w:after="60" w:line="360" w:lineRule="auto"/>
        <w:ind w:firstLine="118"/>
        <w:rPr>
          <w:rFonts w:ascii="宋体" w:hAnsi="宋体" w:eastAsia="宋体" w:cs="宋体"/>
          <w:color w:val="auto"/>
          <w:szCs w:val="24"/>
          <w:highlight w:val="white"/>
        </w:rPr>
      </w:pPr>
      <w:bookmarkStart w:id="54" w:name="_Toc387526183"/>
      <w:bookmarkStart w:id="55" w:name="_Toc387526287"/>
      <w:bookmarkStart w:id="56" w:name="_Toc387526379"/>
      <w:bookmarkStart w:id="57" w:name="_Toc13930"/>
      <w:bookmarkStart w:id="58" w:name="_Toc397928553"/>
      <w:bookmarkStart w:id="59" w:name="_Toc511142442"/>
      <w:r>
        <w:rPr>
          <w:rFonts w:hint="eastAsia" w:ascii="宋体" w:hAnsi="宋体" w:eastAsia="宋体" w:cs="宋体"/>
          <w:color w:val="auto"/>
          <w:szCs w:val="24"/>
          <w:highlight w:val="white"/>
        </w:rPr>
        <w:t>1.4 投标人资格要求</w:t>
      </w:r>
      <w:bookmarkEnd w:id="54"/>
      <w:bookmarkEnd w:id="55"/>
      <w:bookmarkEnd w:id="56"/>
      <w:bookmarkEnd w:id="57"/>
      <w:bookmarkEnd w:id="58"/>
      <w:bookmarkEnd w:id="59"/>
    </w:p>
    <w:p>
      <w:pPr>
        <w:autoSpaceDE w:val="0"/>
        <w:autoSpaceDN w:val="0"/>
        <w:adjustRightInd w:val="0"/>
        <w:spacing w:line="360" w:lineRule="auto"/>
        <w:ind w:firstLine="480" w:firstLineChars="200"/>
        <w:jc w:val="left"/>
        <w:rPr>
          <w:rFonts w:ascii="宋体" w:hAnsi="宋体" w:cs="宋体"/>
          <w:color w:val="auto"/>
          <w:sz w:val="24"/>
          <w:highlight w:val="white"/>
        </w:rPr>
      </w:pPr>
      <w:r>
        <w:rPr>
          <w:rFonts w:hint="eastAsia" w:ascii="宋体" w:hAnsi="宋体" w:cs="宋体"/>
          <w:color w:val="auto"/>
          <w:sz w:val="24"/>
          <w:highlight w:val="white"/>
        </w:rPr>
        <w:t>1.4.1 投标人应具备的资格要求见投标人须知前附表。</w:t>
      </w:r>
    </w:p>
    <w:p>
      <w:pPr>
        <w:autoSpaceDE w:val="0"/>
        <w:autoSpaceDN w:val="0"/>
        <w:adjustRightInd w:val="0"/>
        <w:spacing w:line="360" w:lineRule="auto"/>
        <w:ind w:firstLine="480" w:firstLineChars="200"/>
        <w:jc w:val="left"/>
        <w:rPr>
          <w:color w:val="auto"/>
          <w:sz w:val="24"/>
        </w:rPr>
      </w:pPr>
      <w:r>
        <w:rPr>
          <w:rFonts w:hint="eastAsia" w:ascii="宋体" w:hAnsi="宋体" w:cs="宋体"/>
          <w:color w:val="auto"/>
          <w:sz w:val="24"/>
          <w:highlight w:val="white"/>
        </w:rPr>
        <w:t xml:space="preserve">1.4.2 </w:t>
      </w:r>
      <w:r>
        <w:rPr>
          <w:rFonts w:hint="eastAsia"/>
          <w:color w:val="auto"/>
          <w:sz w:val="24"/>
        </w:rPr>
        <w:t>投标人须知前附表规定不接受联合体投标。</w:t>
      </w:r>
    </w:p>
    <w:p>
      <w:pPr>
        <w:spacing w:line="360" w:lineRule="auto"/>
        <w:ind w:firstLine="480" w:firstLineChars="200"/>
        <w:rPr>
          <w:rFonts w:ascii="宋体" w:hAnsi="宋体" w:cs="宋体"/>
          <w:color w:val="auto"/>
          <w:sz w:val="24"/>
        </w:rPr>
      </w:pPr>
      <w:r>
        <w:rPr>
          <w:rFonts w:hint="eastAsia" w:ascii="宋体" w:hAnsi="宋体" w:cs="宋体"/>
          <w:color w:val="auto"/>
          <w:sz w:val="24"/>
          <w:highlight w:val="white"/>
        </w:rPr>
        <w:t>1.4.3 投标</w:t>
      </w:r>
      <w:r>
        <w:rPr>
          <w:rFonts w:hint="eastAsia" w:ascii="宋体" w:hAnsi="宋体" w:cs="宋体"/>
          <w:color w:val="auto"/>
          <w:sz w:val="24"/>
        </w:rPr>
        <w:t xml:space="preserve">人不得存在下列情形之一： </w:t>
      </w:r>
    </w:p>
    <w:p>
      <w:pPr>
        <w:spacing w:line="360" w:lineRule="auto"/>
        <w:ind w:firstLine="480" w:firstLineChars="200"/>
        <w:rPr>
          <w:rFonts w:ascii="宋体" w:hAnsi="宋体" w:cs="宋体"/>
          <w:color w:val="auto"/>
          <w:sz w:val="24"/>
        </w:rPr>
      </w:pPr>
      <w:bookmarkStart w:id="60" w:name="_Toc387526288"/>
      <w:bookmarkStart w:id="61" w:name="_Toc387526380"/>
      <w:bookmarkStart w:id="62" w:name="_Toc387526184"/>
      <w:bookmarkStart w:id="63" w:name="_Toc1684"/>
      <w:r>
        <w:rPr>
          <w:rFonts w:hint="eastAsia" w:ascii="宋体" w:hAnsi="宋体" w:cs="宋体"/>
          <w:color w:val="auto"/>
          <w:sz w:val="24"/>
        </w:rPr>
        <w:t xml:space="preserve">（1）为招标人的附属机构（单位）； </w:t>
      </w:r>
    </w:p>
    <w:p>
      <w:pPr>
        <w:spacing w:line="360" w:lineRule="auto"/>
        <w:ind w:firstLine="480" w:firstLineChars="200"/>
        <w:rPr>
          <w:rFonts w:ascii="宋体" w:hAnsi="宋体" w:cs="宋体"/>
          <w:color w:val="auto"/>
          <w:sz w:val="24"/>
        </w:rPr>
      </w:pPr>
      <w:r>
        <w:rPr>
          <w:rFonts w:hint="eastAsia" w:ascii="宋体" w:hAnsi="宋体" w:cs="宋体"/>
          <w:color w:val="auto"/>
          <w:sz w:val="24"/>
        </w:rPr>
        <w:t>（2）为本标段的监理人；</w:t>
      </w:r>
    </w:p>
    <w:p>
      <w:pPr>
        <w:spacing w:line="360" w:lineRule="auto"/>
        <w:ind w:firstLine="480" w:firstLineChars="200"/>
        <w:rPr>
          <w:rFonts w:ascii="宋体" w:hAnsi="宋体" w:cs="宋体"/>
          <w:color w:val="auto"/>
          <w:sz w:val="24"/>
        </w:rPr>
      </w:pPr>
      <w:r>
        <w:rPr>
          <w:rFonts w:hint="eastAsia" w:ascii="宋体" w:hAnsi="宋体" w:cs="宋体"/>
          <w:color w:val="auto"/>
          <w:sz w:val="24"/>
        </w:rPr>
        <w:t>（3）为本标段的代建人；</w:t>
      </w:r>
    </w:p>
    <w:p>
      <w:pPr>
        <w:spacing w:line="360" w:lineRule="auto"/>
        <w:ind w:firstLine="480" w:firstLineChars="200"/>
        <w:rPr>
          <w:rFonts w:ascii="宋体" w:hAnsi="宋体" w:cs="宋体"/>
          <w:color w:val="auto"/>
          <w:sz w:val="24"/>
        </w:rPr>
      </w:pPr>
      <w:r>
        <w:rPr>
          <w:rFonts w:hint="eastAsia" w:ascii="宋体" w:hAnsi="宋体" w:cs="宋体"/>
          <w:color w:val="auto"/>
          <w:sz w:val="24"/>
        </w:rPr>
        <w:t>（4）为本标段提供招标代理服务的；</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（5）与本标段的监理人或代建人或招标代理机构的单位负责人为同一个人的； </w:t>
      </w:r>
    </w:p>
    <w:p>
      <w:pPr>
        <w:spacing w:line="360" w:lineRule="auto"/>
        <w:ind w:firstLine="480" w:firstLineChars="200"/>
        <w:rPr>
          <w:rFonts w:ascii="宋体" w:hAnsi="宋体" w:cs="宋体"/>
          <w:color w:val="auto"/>
          <w:sz w:val="24"/>
        </w:rPr>
      </w:pPr>
      <w:r>
        <w:rPr>
          <w:rFonts w:hint="eastAsia" w:ascii="宋体" w:hAnsi="宋体" w:cs="宋体"/>
          <w:color w:val="auto"/>
          <w:sz w:val="24"/>
        </w:rPr>
        <w:t>（6）与本标段的监理人或代建人或招标代理机构相互控股或参股的；</w:t>
      </w:r>
    </w:p>
    <w:p>
      <w:pPr>
        <w:spacing w:line="360" w:lineRule="auto"/>
        <w:ind w:firstLine="480" w:firstLineChars="200"/>
        <w:rPr>
          <w:rFonts w:ascii="宋体" w:hAnsi="宋体" w:cs="宋体"/>
          <w:color w:val="auto"/>
          <w:sz w:val="24"/>
        </w:rPr>
      </w:pPr>
      <w:r>
        <w:rPr>
          <w:rFonts w:hint="eastAsia" w:ascii="宋体" w:hAnsi="宋体" w:cs="宋体"/>
          <w:color w:val="auto"/>
          <w:sz w:val="24"/>
        </w:rPr>
        <w:t>（7）与本标段的其他申请人的单位负责人为同一个人的；</w:t>
      </w:r>
    </w:p>
    <w:p>
      <w:pPr>
        <w:spacing w:line="360" w:lineRule="auto"/>
        <w:ind w:firstLine="480" w:firstLineChars="200"/>
        <w:rPr>
          <w:rFonts w:ascii="宋体" w:hAnsi="宋体" w:cs="宋体"/>
          <w:color w:val="auto"/>
          <w:sz w:val="24"/>
        </w:rPr>
      </w:pPr>
      <w:r>
        <w:rPr>
          <w:rFonts w:hint="eastAsia" w:ascii="宋体" w:hAnsi="宋体" w:cs="宋体"/>
          <w:color w:val="auto"/>
          <w:sz w:val="24"/>
        </w:rPr>
        <w:t>（8）与本标段的其他申请人之间存在控股、管理关系或母公司、全资子公司关系的；</w:t>
      </w:r>
    </w:p>
    <w:p>
      <w:pPr>
        <w:spacing w:line="360" w:lineRule="auto"/>
        <w:ind w:firstLine="480" w:firstLineChars="200"/>
        <w:rPr>
          <w:rFonts w:ascii="宋体" w:hAnsi="宋体" w:cs="宋体"/>
          <w:color w:val="auto"/>
          <w:sz w:val="24"/>
        </w:rPr>
      </w:pPr>
      <w:r>
        <w:rPr>
          <w:rFonts w:hint="eastAsia" w:ascii="宋体" w:hAnsi="宋体" w:cs="宋体"/>
          <w:color w:val="auto"/>
          <w:sz w:val="24"/>
        </w:rPr>
        <w:t>（9）法律法规规定的其他情形。</w:t>
      </w:r>
    </w:p>
    <w:p>
      <w:pPr>
        <w:pStyle w:val="5"/>
        <w:spacing w:before="60" w:after="60" w:line="360" w:lineRule="auto"/>
        <w:ind w:firstLine="118"/>
        <w:rPr>
          <w:rFonts w:ascii="宋体" w:hAnsi="宋体" w:eastAsia="宋体" w:cs="宋体"/>
          <w:color w:val="auto"/>
          <w:szCs w:val="24"/>
          <w:highlight w:val="white"/>
        </w:rPr>
      </w:pPr>
      <w:bookmarkStart w:id="64" w:name="_Toc397928554"/>
      <w:bookmarkStart w:id="65" w:name="_Toc511142443"/>
      <w:r>
        <w:rPr>
          <w:rFonts w:hint="eastAsia" w:ascii="宋体" w:hAnsi="宋体" w:eastAsia="宋体" w:cs="宋体"/>
          <w:color w:val="auto"/>
          <w:szCs w:val="24"/>
          <w:highlight w:val="white"/>
        </w:rPr>
        <w:t>1.5 费用承担</w:t>
      </w:r>
      <w:bookmarkEnd w:id="60"/>
      <w:bookmarkEnd w:id="61"/>
      <w:bookmarkEnd w:id="62"/>
      <w:bookmarkEnd w:id="63"/>
      <w:bookmarkEnd w:id="64"/>
      <w:bookmarkEnd w:id="65"/>
    </w:p>
    <w:p>
      <w:pPr>
        <w:autoSpaceDE w:val="0"/>
        <w:autoSpaceDN w:val="0"/>
        <w:adjustRightInd w:val="0"/>
        <w:spacing w:line="360" w:lineRule="auto"/>
        <w:ind w:firstLine="480" w:firstLineChars="200"/>
        <w:jc w:val="left"/>
        <w:rPr>
          <w:rFonts w:ascii="宋体" w:hAnsi="宋体" w:cs="宋体"/>
          <w:b/>
          <w:color w:val="auto"/>
          <w:sz w:val="24"/>
          <w:highlight w:val="white"/>
        </w:rPr>
      </w:pPr>
      <w:r>
        <w:rPr>
          <w:rFonts w:hint="eastAsia" w:ascii="宋体" w:hAnsi="宋体" w:cs="宋体"/>
          <w:color w:val="auto"/>
          <w:kern w:val="0"/>
          <w:sz w:val="24"/>
        </w:rPr>
        <w:t>投标人准备和参加投标活动发生的费用自理。</w:t>
      </w:r>
    </w:p>
    <w:p>
      <w:pPr>
        <w:pStyle w:val="5"/>
        <w:spacing w:before="60" w:after="60" w:line="360" w:lineRule="auto"/>
        <w:ind w:firstLine="118"/>
        <w:rPr>
          <w:rFonts w:ascii="宋体" w:hAnsi="宋体" w:eastAsia="宋体" w:cs="宋体"/>
          <w:color w:val="auto"/>
          <w:szCs w:val="24"/>
          <w:highlight w:val="white"/>
        </w:rPr>
      </w:pPr>
      <w:bookmarkStart w:id="66" w:name="_Toc387526381"/>
      <w:bookmarkStart w:id="67" w:name="_Toc387526289"/>
      <w:bookmarkStart w:id="68" w:name="_Toc5130"/>
      <w:bookmarkStart w:id="69" w:name="_Toc387526185"/>
      <w:bookmarkStart w:id="70" w:name="_Toc397928555"/>
      <w:bookmarkStart w:id="71" w:name="_Toc511142444"/>
      <w:r>
        <w:rPr>
          <w:rFonts w:hint="eastAsia" w:ascii="宋体" w:hAnsi="宋体" w:eastAsia="宋体" w:cs="宋体"/>
          <w:color w:val="auto"/>
          <w:szCs w:val="24"/>
          <w:highlight w:val="white"/>
        </w:rPr>
        <w:t>1.6 保密</w:t>
      </w:r>
      <w:bookmarkEnd w:id="66"/>
      <w:bookmarkEnd w:id="67"/>
      <w:bookmarkEnd w:id="68"/>
      <w:bookmarkEnd w:id="69"/>
      <w:bookmarkEnd w:id="70"/>
      <w:bookmarkEnd w:id="71"/>
    </w:p>
    <w:p>
      <w:pPr>
        <w:spacing w:line="360" w:lineRule="auto"/>
        <w:ind w:firstLine="480" w:firstLineChars="200"/>
        <w:rPr>
          <w:rFonts w:ascii="宋体" w:hAnsi="宋体" w:cs="宋体"/>
          <w:color w:val="auto"/>
          <w:sz w:val="24"/>
        </w:rPr>
      </w:pPr>
      <w:r>
        <w:rPr>
          <w:rFonts w:hint="eastAsia" w:ascii="宋体" w:hAnsi="宋体" w:cs="宋体"/>
          <w:color w:val="auto"/>
          <w:sz w:val="24"/>
        </w:rPr>
        <w:t>参与招标投标活动的各方应对招标文件和投标文件中的商业和技术等秘密保密，违者应对由此造成的后果承担法律责任。</w:t>
      </w:r>
    </w:p>
    <w:p>
      <w:pPr>
        <w:pStyle w:val="5"/>
        <w:spacing w:before="60" w:after="60" w:line="360" w:lineRule="auto"/>
        <w:ind w:firstLine="118"/>
        <w:rPr>
          <w:rFonts w:ascii="宋体" w:hAnsi="宋体" w:eastAsia="宋体" w:cs="宋体"/>
          <w:color w:val="auto"/>
          <w:szCs w:val="24"/>
          <w:highlight w:val="white"/>
        </w:rPr>
      </w:pPr>
      <w:bookmarkStart w:id="72" w:name="_Toc822"/>
      <w:bookmarkStart w:id="73" w:name="_Toc511142445"/>
      <w:bookmarkStart w:id="74" w:name="_Toc387526382"/>
      <w:bookmarkStart w:id="75" w:name="_Toc397928556"/>
      <w:bookmarkStart w:id="76" w:name="_Toc387526290"/>
      <w:bookmarkStart w:id="77" w:name="_Toc387526186"/>
      <w:r>
        <w:rPr>
          <w:rFonts w:hint="eastAsia" w:ascii="宋体" w:hAnsi="宋体" w:eastAsia="宋体" w:cs="宋体"/>
          <w:color w:val="auto"/>
          <w:szCs w:val="24"/>
          <w:highlight w:val="white"/>
        </w:rPr>
        <w:t>1.7 语言文字</w:t>
      </w:r>
      <w:bookmarkEnd w:id="72"/>
      <w:bookmarkEnd w:id="73"/>
      <w:bookmarkEnd w:id="74"/>
      <w:bookmarkEnd w:id="75"/>
      <w:bookmarkEnd w:id="76"/>
      <w:bookmarkEnd w:id="77"/>
    </w:p>
    <w:p>
      <w:pPr>
        <w:spacing w:line="360" w:lineRule="auto"/>
        <w:ind w:firstLine="480" w:firstLineChars="200"/>
        <w:rPr>
          <w:rFonts w:ascii="宋体" w:hAnsi="宋体" w:cs="宋体"/>
          <w:color w:val="auto"/>
          <w:sz w:val="24"/>
        </w:rPr>
      </w:pPr>
      <w:r>
        <w:rPr>
          <w:rFonts w:hint="eastAsia" w:ascii="宋体" w:hAnsi="宋体" w:cs="宋体"/>
          <w:color w:val="auto"/>
          <w:sz w:val="24"/>
        </w:rPr>
        <w:t>除专用术语外，与招标投标有关的语言均使用中文。必要时专用术语应附有中文注释。</w:t>
      </w:r>
    </w:p>
    <w:p>
      <w:pPr>
        <w:pStyle w:val="5"/>
        <w:spacing w:before="60" w:after="60" w:line="360" w:lineRule="auto"/>
        <w:ind w:firstLine="118"/>
        <w:rPr>
          <w:rFonts w:ascii="宋体" w:hAnsi="宋体" w:eastAsia="宋体" w:cs="宋体"/>
          <w:color w:val="auto"/>
          <w:szCs w:val="24"/>
          <w:highlight w:val="white"/>
        </w:rPr>
      </w:pPr>
      <w:bookmarkStart w:id="78" w:name="_Toc397928557"/>
      <w:bookmarkStart w:id="79" w:name="_Toc31413"/>
      <w:bookmarkStart w:id="80" w:name="_Toc387526383"/>
      <w:bookmarkStart w:id="81" w:name="_Toc387526187"/>
      <w:bookmarkStart w:id="82" w:name="_Toc387526291"/>
      <w:bookmarkStart w:id="83" w:name="_Toc511142446"/>
      <w:r>
        <w:rPr>
          <w:rFonts w:hint="eastAsia" w:ascii="宋体" w:hAnsi="宋体" w:eastAsia="宋体" w:cs="宋体"/>
          <w:color w:val="auto"/>
          <w:szCs w:val="24"/>
          <w:highlight w:val="white"/>
        </w:rPr>
        <w:t>1.8 计量单位</w:t>
      </w:r>
      <w:bookmarkEnd w:id="78"/>
      <w:bookmarkEnd w:id="79"/>
      <w:bookmarkEnd w:id="80"/>
      <w:bookmarkEnd w:id="81"/>
      <w:bookmarkEnd w:id="82"/>
      <w:bookmarkEnd w:id="83"/>
    </w:p>
    <w:p>
      <w:pPr>
        <w:spacing w:line="360" w:lineRule="auto"/>
        <w:ind w:firstLine="480" w:firstLineChars="200"/>
        <w:rPr>
          <w:rFonts w:ascii="宋体" w:hAnsi="宋体" w:cs="宋体"/>
          <w:color w:val="auto"/>
          <w:sz w:val="24"/>
        </w:rPr>
      </w:pPr>
      <w:r>
        <w:rPr>
          <w:rFonts w:hint="eastAsia" w:ascii="宋体" w:hAnsi="宋体" w:cs="宋体"/>
          <w:color w:val="auto"/>
          <w:sz w:val="24"/>
        </w:rPr>
        <w:t>所有计量均采用中华人民共和国法定计量单位。</w:t>
      </w:r>
    </w:p>
    <w:p>
      <w:pPr>
        <w:pStyle w:val="5"/>
        <w:spacing w:before="60" w:after="60" w:line="360" w:lineRule="auto"/>
        <w:ind w:firstLine="118"/>
        <w:rPr>
          <w:rFonts w:ascii="宋体" w:hAnsi="宋体" w:eastAsia="宋体" w:cs="宋体"/>
          <w:color w:val="auto"/>
          <w:szCs w:val="24"/>
          <w:highlight w:val="white"/>
        </w:rPr>
      </w:pPr>
      <w:bookmarkStart w:id="84" w:name="_Toc25122"/>
      <w:bookmarkStart w:id="85" w:name="_Toc397928558"/>
      <w:bookmarkStart w:id="86" w:name="_Toc387526292"/>
      <w:bookmarkStart w:id="87" w:name="_Toc387526384"/>
      <w:bookmarkStart w:id="88" w:name="_Toc511142447"/>
      <w:bookmarkStart w:id="89" w:name="_Toc387526188"/>
      <w:r>
        <w:rPr>
          <w:rFonts w:hint="eastAsia" w:ascii="宋体" w:hAnsi="宋体" w:eastAsia="宋体" w:cs="宋体"/>
          <w:color w:val="auto"/>
          <w:szCs w:val="24"/>
          <w:highlight w:val="white"/>
        </w:rPr>
        <w:t>1.9 踏勘现场</w:t>
      </w:r>
      <w:bookmarkEnd w:id="84"/>
      <w:bookmarkEnd w:id="85"/>
      <w:bookmarkEnd w:id="86"/>
      <w:bookmarkEnd w:id="87"/>
      <w:bookmarkEnd w:id="88"/>
      <w:bookmarkEnd w:id="89"/>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1.9.1招标人不组织投标人踏勘现场，投标人可以自行对项目现场和周围环境进行勘察，以获取编制投标文件和签署合同所需的所有资料。现场的联系方式见须知前附表。</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1.9.2 投标人踏勘现场发生的费用自理。</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1.9.3 除招标人的原因外，投标人自行负责在踏勘现场中所发生的人员伤亡和财产损失。</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1.9.4 招标人向投标人提供的有关项目现场的资料和数据是招标人现有的能使投标人利用的资料。招标人对投标人由此而做出的推论、理解和结论概不负责。</w:t>
      </w:r>
    </w:p>
    <w:p>
      <w:pPr>
        <w:pStyle w:val="5"/>
        <w:spacing w:before="60" w:after="60" w:line="360" w:lineRule="auto"/>
        <w:ind w:firstLine="118"/>
        <w:rPr>
          <w:rFonts w:ascii="宋体" w:hAnsi="宋体" w:eastAsia="宋体" w:cs="宋体"/>
          <w:color w:val="auto"/>
          <w:szCs w:val="24"/>
          <w:highlight w:val="white"/>
        </w:rPr>
      </w:pPr>
      <w:bookmarkStart w:id="90" w:name="_Toc387526189"/>
      <w:bookmarkStart w:id="91" w:name="_Toc387526385"/>
      <w:bookmarkStart w:id="92" w:name="_Toc511142448"/>
      <w:bookmarkStart w:id="93" w:name="_Toc397928559"/>
      <w:bookmarkStart w:id="94" w:name="_Toc11088"/>
      <w:bookmarkStart w:id="95" w:name="_Toc387526293"/>
      <w:r>
        <w:rPr>
          <w:rFonts w:hint="eastAsia" w:ascii="宋体" w:hAnsi="宋体" w:eastAsia="宋体" w:cs="宋体"/>
          <w:color w:val="auto"/>
          <w:szCs w:val="24"/>
          <w:highlight w:val="white"/>
        </w:rPr>
        <w:t>1.10 投标预备会</w:t>
      </w:r>
      <w:bookmarkEnd w:id="90"/>
      <w:bookmarkEnd w:id="91"/>
      <w:bookmarkEnd w:id="92"/>
      <w:bookmarkEnd w:id="93"/>
      <w:bookmarkEnd w:id="94"/>
      <w:bookmarkEnd w:id="95"/>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详见投标须知前附表规定。</w:t>
      </w:r>
    </w:p>
    <w:p>
      <w:pPr>
        <w:pStyle w:val="5"/>
        <w:spacing w:before="60" w:after="60" w:line="360" w:lineRule="auto"/>
        <w:ind w:firstLine="118"/>
        <w:rPr>
          <w:rFonts w:ascii="宋体" w:hAnsi="宋体" w:eastAsia="宋体" w:cs="宋体"/>
          <w:color w:val="auto"/>
          <w:szCs w:val="24"/>
          <w:highlight w:val="white"/>
        </w:rPr>
      </w:pPr>
      <w:bookmarkStart w:id="96" w:name="_Toc511142449"/>
      <w:bookmarkStart w:id="97" w:name="_Toc387526386"/>
      <w:bookmarkStart w:id="98" w:name="_Toc387526294"/>
      <w:bookmarkStart w:id="99" w:name="_Toc397928560"/>
      <w:bookmarkStart w:id="100" w:name="_Toc21970"/>
      <w:bookmarkStart w:id="101" w:name="_Toc387526190"/>
      <w:bookmarkStart w:id="102" w:name="_Toc366679673"/>
      <w:bookmarkStart w:id="103" w:name="_Toc363329371"/>
      <w:bookmarkStart w:id="104" w:name="_Toc367894799"/>
      <w:r>
        <w:rPr>
          <w:rFonts w:hint="eastAsia" w:ascii="宋体" w:hAnsi="宋体" w:eastAsia="宋体" w:cs="宋体"/>
          <w:color w:val="auto"/>
          <w:szCs w:val="24"/>
          <w:highlight w:val="white"/>
        </w:rPr>
        <w:t>1.11 偏离</w:t>
      </w:r>
      <w:bookmarkEnd w:id="96"/>
      <w:bookmarkEnd w:id="97"/>
      <w:bookmarkEnd w:id="98"/>
      <w:bookmarkEnd w:id="99"/>
      <w:bookmarkEnd w:id="100"/>
      <w:bookmarkEnd w:id="101"/>
      <w:bookmarkEnd w:id="102"/>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投标人须知前附表允许投标文件偏离招标文件某些要求的，偏离应当符合招标文件规定的偏离范围和幅度。</w:t>
      </w:r>
    </w:p>
    <w:p>
      <w:pPr>
        <w:pStyle w:val="124"/>
        <w:spacing w:line="240" w:lineRule="auto"/>
        <w:rPr>
          <w:rFonts w:ascii="宋体" w:hAnsi="宋体"/>
          <w:color w:val="auto"/>
          <w:sz w:val="21"/>
          <w:szCs w:val="21"/>
        </w:rPr>
      </w:pPr>
      <w:bookmarkStart w:id="105" w:name="_Toc511142450"/>
      <w:bookmarkStart w:id="106" w:name="_Toc368759376"/>
      <w:bookmarkStart w:id="107" w:name="_Toc387526387"/>
      <w:bookmarkStart w:id="108" w:name="_Toc387526191"/>
      <w:bookmarkStart w:id="109" w:name="_Toc30422"/>
      <w:bookmarkStart w:id="110" w:name="_Toc369077562"/>
      <w:bookmarkStart w:id="111" w:name="_Toc368760428"/>
      <w:bookmarkStart w:id="112" w:name="_Toc387526295"/>
      <w:bookmarkStart w:id="113" w:name="_Toc397928561"/>
      <w:r>
        <w:rPr>
          <w:rFonts w:hint="eastAsia" w:ascii="宋体" w:hAnsi="宋体"/>
          <w:color w:val="auto"/>
        </w:rPr>
        <w:t>2. 招标文件</w:t>
      </w:r>
      <w:bookmarkEnd w:id="103"/>
      <w:bookmarkEnd w:id="104"/>
      <w:bookmarkEnd w:id="105"/>
      <w:bookmarkEnd w:id="106"/>
      <w:bookmarkEnd w:id="107"/>
      <w:bookmarkEnd w:id="108"/>
      <w:bookmarkEnd w:id="109"/>
      <w:bookmarkEnd w:id="110"/>
      <w:bookmarkEnd w:id="111"/>
      <w:bookmarkEnd w:id="112"/>
      <w:bookmarkEnd w:id="113"/>
    </w:p>
    <w:p>
      <w:pPr>
        <w:pStyle w:val="5"/>
        <w:spacing w:before="60" w:after="60" w:line="360" w:lineRule="auto"/>
        <w:ind w:firstLine="118"/>
        <w:rPr>
          <w:rFonts w:ascii="宋体" w:hAnsi="宋体" w:eastAsia="宋体" w:cs="宋体"/>
          <w:color w:val="auto"/>
          <w:szCs w:val="24"/>
          <w:highlight w:val="white"/>
        </w:rPr>
      </w:pPr>
      <w:bookmarkStart w:id="114" w:name="_Toc387526296"/>
      <w:bookmarkStart w:id="115" w:name="_Toc23070"/>
      <w:bookmarkStart w:id="116" w:name="_Toc387526388"/>
      <w:bookmarkStart w:id="117" w:name="_Toc397928562"/>
      <w:bookmarkStart w:id="118" w:name="_Toc511142451"/>
      <w:bookmarkStart w:id="119" w:name="_Toc387526192"/>
      <w:r>
        <w:rPr>
          <w:rFonts w:hint="eastAsia" w:ascii="宋体" w:hAnsi="宋体" w:eastAsia="宋体" w:cs="宋体"/>
          <w:color w:val="auto"/>
          <w:szCs w:val="24"/>
          <w:highlight w:val="white"/>
        </w:rPr>
        <w:t>2.1 招标文件组成</w:t>
      </w:r>
      <w:bookmarkEnd w:id="114"/>
      <w:bookmarkEnd w:id="115"/>
      <w:bookmarkEnd w:id="116"/>
      <w:bookmarkEnd w:id="117"/>
      <w:bookmarkEnd w:id="118"/>
      <w:bookmarkEnd w:id="119"/>
    </w:p>
    <w:p>
      <w:pPr>
        <w:shd w:val="clear" w:color="auto" w:fill="FFFFFF"/>
        <w:autoSpaceDE w:val="0"/>
        <w:autoSpaceDN w:val="0"/>
        <w:adjustRightInd w:val="0"/>
        <w:spacing w:line="360" w:lineRule="auto"/>
        <w:ind w:firstLine="480" w:firstLineChars="200"/>
        <w:jc w:val="left"/>
        <w:rPr>
          <w:rFonts w:ascii="宋体" w:hAnsi="宋体" w:cs="宋体"/>
          <w:color w:val="auto"/>
          <w:sz w:val="24"/>
          <w:highlight w:val="white"/>
        </w:rPr>
      </w:pPr>
      <w:r>
        <w:rPr>
          <w:rFonts w:hint="eastAsia" w:ascii="宋体" w:hAnsi="宋体" w:cs="宋体"/>
          <w:color w:val="auto"/>
          <w:sz w:val="24"/>
          <w:highlight w:val="white"/>
        </w:rPr>
        <w:t>2.1.1 本招标文件包括：</w:t>
      </w:r>
    </w:p>
    <w:p>
      <w:pPr>
        <w:spacing w:line="360" w:lineRule="auto"/>
        <w:ind w:firstLine="480" w:firstLineChars="200"/>
        <w:rPr>
          <w:rFonts w:ascii="宋体" w:hAnsi="宋体" w:cs="宋体"/>
          <w:color w:val="auto"/>
          <w:sz w:val="24"/>
        </w:rPr>
      </w:pPr>
      <w:r>
        <w:rPr>
          <w:rFonts w:hint="eastAsia" w:ascii="宋体" w:hAnsi="宋体" w:cs="宋体"/>
          <w:color w:val="auto"/>
          <w:sz w:val="24"/>
        </w:rPr>
        <w:t>（1）招标公告；</w:t>
      </w:r>
    </w:p>
    <w:p>
      <w:pPr>
        <w:spacing w:line="360" w:lineRule="auto"/>
        <w:ind w:firstLine="480" w:firstLineChars="200"/>
        <w:rPr>
          <w:rFonts w:ascii="宋体" w:hAnsi="宋体" w:cs="宋体"/>
          <w:color w:val="auto"/>
          <w:sz w:val="24"/>
        </w:rPr>
      </w:pPr>
      <w:r>
        <w:rPr>
          <w:rFonts w:hint="eastAsia" w:ascii="宋体" w:hAnsi="宋体" w:cs="宋体"/>
          <w:color w:val="auto"/>
          <w:sz w:val="24"/>
        </w:rPr>
        <w:t>（2）投标人须知；</w:t>
      </w:r>
    </w:p>
    <w:p>
      <w:pPr>
        <w:spacing w:line="360" w:lineRule="auto"/>
        <w:ind w:firstLine="480" w:firstLineChars="200"/>
        <w:rPr>
          <w:rFonts w:ascii="宋体" w:hAnsi="宋体" w:cs="宋体"/>
          <w:color w:val="auto"/>
          <w:sz w:val="24"/>
        </w:rPr>
      </w:pPr>
      <w:r>
        <w:rPr>
          <w:rFonts w:hint="eastAsia" w:ascii="宋体" w:hAnsi="宋体" w:cs="宋体"/>
          <w:color w:val="auto"/>
          <w:sz w:val="24"/>
        </w:rPr>
        <w:t>（3）评标办法；</w:t>
      </w:r>
    </w:p>
    <w:p>
      <w:pPr>
        <w:spacing w:line="360" w:lineRule="auto"/>
        <w:ind w:firstLine="480" w:firstLineChars="200"/>
        <w:rPr>
          <w:rFonts w:ascii="宋体" w:hAnsi="宋体" w:cs="宋体"/>
          <w:color w:val="auto"/>
          <w:sz w:val="24"/>
        </w:rPr>
      </w:pPr>
      <w:r>
        <w:rPr>
          <w:rFonts w:hint="eastAsia" w:ascii="宋体" w:hAnsi="宋体" w:cs="宋体"/>
          <w:color w:val="auto"/>
          <w:sz w:val="24"/>
        </w:rPr>
        <w:t>（4）合同条款及格式；</w:t>
      </w:r>
    </w:p>
    <w:p>
      <w:pPr>
        <w:spacing w:line="360" w:lineRule="auto"/>
        <w:ind w:firstLine="480" w:firstLineChars="200"/>
        <w:rPr>
          <w:rFonts w:ascii="宋体" w:hAnsi="宋体" w:cs="宋体"/>
          <w:color w:val="auto"/>
          <w:sz w:val="24"/>
        </w:rPr>
      </w:pPr>
      <w:r>
        <w:rPr>
          <w:rFonts w:hint="eastAsia" w:ascii="宋体" w:hAnsi="宋体" w:cs="宋体"/>
          <w:color w:val="auto"/>
          <w:sz w:val="24"/>
        </w:rPr>
        <w:t>（5）服务需求；</w:t>
      </w:r>
    </w:p>
    <w:p>
      <w:pPr>
        <w:spacing w:line="360" w:lineRule="auto"/>
        <w:ind w:firstLine="480" w:firstLineChars="200"/>
        <w:rPr>
          <w:rFonts w:ascii="宋体" w:hAnsi="宋体" w:cs="宋体"/>
          <w:color w:val="auto"/>
          <w:sz w:val="24"/>
        </w:rPr>
      </w:pPr>
      <w:r>
        <w:rPr>
          <w:rFonts w:hint="eastAsia" w:ascii="宋体" w:hAnsi="宋体" w:cs="宋体"/>
          <w:color w:val="auto"/>
          <w:sz w:val="24"/>
        </w:rPr>
        <w:t>（6）投标文件格式；</w:t>
      </w:r>
    </w:p>
    <w:p>
      <w:pPr>
        <w:spacing w:line="360" w:lineRule="auto"/>
        <w:ind w:firstLine="480" w:firstLineChars="200"/>
        <w:rPr>
          <w:rFonts w:ascii="宋体" w:hAnsi="宋体" w:cs="宋体"/>
          <w:color w:val="auto"/>
          <w:sz w:val="24"/>
        </w:rPr>
      </w:pPr>
      <w:r>
        <w:rPr>
          <w:rFonts w:hint="eastAsia" w:ascii="宋体" w:hAnsi="宋体" w:cs="宋体"/>
          <w:color w:val="auto"/>
          <w:sz w:val="24"/>
        </w:rPr>
        <w:t>（7）投标人须知前附表规定的其他材料。</w:t>
      </w:r>
    </w:p>
    <w:p>
      <w:pPr>
        <w:spacing w:line="360" w:lineRule="auto"/>
        <w:ind w:firstLine="480" w:firstLineChars="200"/>
        <w:rPr>
          <w:rFonts w:ascii="宋体" w:hAnsi="宋体" w:cs="宋体"/>
          <w:color w:val="auto"/>
          <w:sz w:val="24"/>
        </w:rPr>
      </w:pPr>
      <w:r>
        <w:rPr>
          <w:rFonts w:hint="eastAsia" w:ascii="宋体" w:hAnsi="宋体" w:cs="宋体"/>
          <w:color w:val="auto"/>
          <w:sz w:val="24"/>
        </w:rPr>
        <w:t>2.1.2根据本章第2.2.1款、第2.2.3款和第2.3.1款对招标文件所作的澄清、修改，构成招标文件的组成部分。当招标文件相互之间发生矛盾时，以后发出的文件为准。</w:t>
      </w:r>
    </w:p>
    <w:p>
      <w:pPr>
        <w:pStyle w:val="5"/>
        <w:spacing w:before="60" w:after="60" w:line="360" w:lineRule="auto"/>
        <w:ind w:firstLine="118"/>
        <w:rPr>
          <w:rFonts w:ascii="宋体" w:hAnsi="宋体" w:eastAsia="宋体" w:cs="宋体"/>
          <w:color w:val="auto"/>
          <w:szCs w:val="24"/>
          <w:highlight w:val="white"/>
        </w:rPr>
      </w:pPr>
      <w:bookmarkStart w:id="120" w:name="_Toc152045544"/>
      <w:bookmarkStart w:id="121" w:name="_Toc246996189"/>
      <w:bookmarkStart w:id="122" w:name="_Toc387526389"/>
      <w:bookmarkStart w:id="123" w:name="_Toc387526193"/>
      <w:bookmarkStart w:id="124" w:name="_Toc9593"/>
      <w:bookmarkStart w:id="125" w:name="_Toc387526297"/>
      <w:bookmarkStart w:id="126" w:name="_Toc179632562"/>
      <w:bookmarkStart w:id="127" w:name="_Toc397928563"/>
      <w:bookmarkStart w:id="128" w:name="_Toc152042320"/>
      <w:bookmarkStart w:id="129" w:name="_Toc366679676"/>
      <w:bookmarkStart w:id="130" w:name="_Toc246996932"/>
      <w:bookmarkStart w:id="131" w:name="_Toc511142452"/>
      <w:bookmarkStart w:id="132" w:name="_Toc247085703"/>
      <w:bookmarkStart w:id="133" w:name="_Toc144974512"/>
      <w:r>
        <w:rPr>
          <w:rFonts w:hint="eastAsia" w:ascii="宋体" w:hAnsi="宋体" w:eastAsia="宋体" w:cs="宋体"/>
          <w:color w:val="auto"/>
          <w:szCs w:val="24"/>
          <w:highlight w:val="white"/>
        </w:rPr>
        <w:t>2.2 招标文件的澄清</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宋体" w:hAnsi="宋体" w:eastAsia="宋体" w:cs="宋体"/>
          <w:color w:val="auto"/>
          <w:szCs w:val="24"/>
          <w:highlight w:val="white"/>
        </w:rPr>
        <w:t xml:space="preserve"> </w:t>
      </w:r>
    </w:p>
    <w:p>
      <w:pPr>
        <w:shd w:val="clear" w:color="auto" w:fill="FFFFFF"/>
        <w:autoSpaceDE w:val="0"/>
        <w:autoSpaceDN w:val="0"/>
        <w:adjustRightInd w:val="0"/>
        <w:spacing w:line="360" w:lineRule="auto"/>
        <w:ind w:firstLine="480" w:firstLineChars="200"/>
        <w:jc w:val="left"/>
        <w:rPr>
          <w:rFonts w:ascii="宋体" w:hAnsi="宋体" w:cs="宋体"/>
          <w:color w:val="auto"/>
          <w:sz w:val="24"/>
          <w:highlight w:val="white"/>
        </w:rPr>
      </w:pPr>
      <w:r>
        <w:rPr>
          <w:rFonts w:hint="eastAsia" w:ascii="宋体" w:hAnsi="宋体" w:cs="宋体"/>
          <w:color w:val="auto"/>
          <w:sz w:val="24"/>
          <w:highlight w:val="whit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个工作日内对供应商依法提出的询问作出答复。</w:t>
      </w:r>
    </w:p>
    <w:p>
      <w:pPr>
        <w:shd w:val="clear" w:color="auto" w:fill="FFFFFF"/>
        <w:autoSpaceDE w:val="0"/>
        <w:autoSpaceDN w:val="0"/>
        <w:adjustRightInd w:val="0"/>
        <w:spacing w:line="360" w:lineRule="auto"/>
        <w:ind w:firstLine="480" w:firstLineChars="200"/>
        <w:jc w:val="left"/>
        <w:rPr>
          <w:rFonts w:ascii="宋体" w:hAnsi="宋体" w:cs="宋体"/>
          <w:color w:val="auto"/>
          <w:sz w:val="24"/>
          <w:highlight w:val="white"/>
        </w:rPr>
      </w:pPr>
      <w:r>
        <w:rPr>
          <w:rFonts w:hint="eastAsia" w:ascii="宋体" w:hAnsi="宋体" w:cs="宋体"/>
          <w:color w:val="auto"/>
          <w:sz w:val="24"/>
          <w:highlight w:val="white"/>
        </w:rPr>
        <w:t>2.2.2 招标文件的澄清将在投标人须知前附表规定的投标截止时间15天前以“补充答疑”的形式在</w:t>
      </w:r>
      <w:r>
        <w:rPr>
          <w:rFonts w:hint="eastAsia" w:ascii="宋体" w:hAnsi="宋体" w:cs="宋体"/>
          <w:color w:val="auto"/>
          <w:sz w:val="24"/>
          <w:highlight w:val="white"/>
          <w:u w:val="single"/>
        </w:rPr>
        <w:t>大丰公共资源电子交易平台(http://ggzy.dafeng.gov.cn/dfweb/)</w:t>
      </w:r>
      <w:r>
        <w:rPr>
          <w:rFonts w:hint="eastAsia" w:ascii="宋体" w:hAnsi="宋体" w:cs="宋体"/>
          <w:color w:val="auto"/>
          <w:sz w:val="24"/>
          <w:highlight w:val="white"/>
        </w:rPr>
        <w:t>上公开发布，但不指明澄清问题的来源。如果澄清发出的时间距投标截止时间不足15天，且澄清内容影响投标文件编制的，相应延长投标截止时间。</w:t>
      </w:r>
    </w:p>
    <w:p>
      <w:pPr>
        <w:pStyle w:val="5"/>
        <w:keepNext w:val="0"/>
        <w:keepLines w:val="0"/>
        <w:spacing w:before="60" w:after="60" w:line="360" w:lineRule="auto"/>
        <w:ind w:firstLine="118"/>
        <w:rPr>
          <w:rFonts w:ascii="宋体" w:hAnsi="宋体" w:eastAsia="宋体" w:cs="宋体"/>
          <w:color w:val="auto"/>
          <w:szCs w:val="24"/>
          <w:highlight w:val="white"/>
        </w:rPr>
      </w:pPr>
      <w:bookmarkStart w:id="134" w:name="_Toc247085704"/>
      <w:bookmarkStart w:id="135" w:name="_Toc511142453"/>
      <w:bookmarkStart w:id="136" w:name="_Toc387526194"/>
      <w:bookmarkStart w:id="137" w:name="_Toc179632563"/>
      <w:bookmarkStart w:id="138" w:name="_Toc397928564"/>
      <w:bookmarkStart w:id="139" w:name="_Toc246996190"/>
      <w:bookmarkStart w:id="140" w:name="_Toc387526390"/>
      <w:bookmarkStart w:id="141" w:name="_Toc387526298"/>
      <w:bookmarkStart w:id="142" w:name="_Toc366679677"/>
      <w:bookmarkStart w:id="143" w:name="_Toc246996933"/>
      <w:bookmarkStart w:id="144" w:name="_Toc19263"/>
      <w:r>
        <w:rPr>
          <w:rFonts w:hint="eastAsia" w:ascii="宋体" w:hAnsi="宋体" w:eastAsia="宋体" w:cs="宋体"/>
          <w:color w:val="auto"/>
          <w:szCs w:val="24"/>
          <w:highlight w:val="white"/>
        </w:rPr>
        <w:t>2.3 招标文件的修改</w:t>
      </w:r>
      <w:bookmarkEnd w:id="134"/>
      <w:bookmarkEnd w:id="135"/>
      <w:bookmarkEnd w:id="136"/>
      <w:bookmarkEnd w:id="137"/>
      <w:bookmarkEnd w:id="138"/>
      <w:bookmarkEnd w:id="139"/>
      <w:bookmarkEnd w:id="140"/>
      <w:bookmarkEnd w:id="141"/>
      <w:bookmarkEnd w:id="142"/>
      <w:bookmarkEnd w:id="143"/>
      <w:bookmarkEnd w:id="144"/>
    </w:p>
    <w:p>
      <w:pPr>
        <w:shd w:val="clear" w:color="auto" w:fill="FFFFFF"/>
        <w:autoSpaceDE w:val="0"/>
        <w:autoSpaceDN w:val="0"/>
        <w:adjustRightInd w:val="0"/>
        <w:spacing w:line="360" w:lineRule="auto"/>
        <w:ind w:firstLine="480" w:firstLineChars="200"/>
        <w:jc w:val="left"/>
        <w:rPr>
          <w:rFonts w:ascii="宋体" w:hAnsi="宋体" w:cs="宋体"/>
          <w:color w:val="auto"/>
          <w:szCs w:val="21"/>
          <w:highlight w:val="white"/>
        </w:rPr>
      </w:pPr>
      <w:r>
        <w:rPr>
          <w:rFonts w:hint="eastAsia" w:ascii="宋体" w:hAnsi="宋体" w:cs="宋体"/>
          <w:color w:val="auto"/>
          <w:sz w:val="24"/>
          <w:highlight w:val="white"/>
        </w:rPr>
        <w:t>2.3.1 在投标截止时间15天前，招标人可以以“补充答疑”的形式在</w:t>
      </w:r>
      <w:r>
        <w:rPr>
          <w:rFonts w:hint="eastAsia" w:ascii="宋体" w:hAnsi="宋体" w:cs="宋体"/>
          <w:color w:val="auto"/>
          <w:sz w:val="24"/>
          <w:highlight w:val="white"/>
          <w:u w:val="single"/>
        </w:rPr>
        <w:t>大丰公共资源电子交易平台</w:t>
      </w:r>
      <w:r>
        <w:rPr>
          <w:rStyle w:val="52"/>
          <w:rFonts w:hint="eastAsia" w:ascii="宋体" w:hAnsi="宋体" w:cs="宋体"/>
          <w:b/>
          <w:color w:val="auto"/>
          <w:sz w:val="24"/>
        </w:rPr>
        <w:t>(http://ggzy.dafeng.gov.cn/dfweb/)</w:t>
      </w:r>
      <w:r>
        <w:rPr>
          <w:rFonts w:hint="eastAsia" w:ascii="宋体" w:hAnsi="宋体" w:cs="宋体"/>
          <w:color w:val="auto"/>
          <w:sz w:val="24"/>
          <w:highlight w:val="white"/>
        </w:rPr>
        <w:t>上修改招标文件。如果修改招标文件的时间距投标截止时间不足15天，且修改内容影响投标文件编制的，相应延长投标截止时间。</w:t>
      </w:r>
    </w:p>
    <w:p>
      <w:pPr>
        <w:shd w:val="clear" w:color="auto" w:fill="FFFFFF"/>
        <w:autoSpaceDE w:val="0"/>
        <w:autoSpaceDN w:val="0"/>
        <w:adjustRightInd w:val="0"/>
        <w:spacing w:line="360" w:lineRule="auto"/>
        <w:jc w:val="left"/>
        <w:rPr>
          <w:rFonts w:ascii="宋体" w:hAnsi="宋体" w:cs="宋体"/>
          <w:b/>
          <w:bCs/>
          <w:color w:val="auto"/>
          <w:szCs w:val="21"/>
        </w:rPr>
      </w:pPr>
      <w:bookmarkStart w:id="145" w:name="_Toc367894800"/>
      <w:bookmarkStart w:id="146" w:name="_Toc363329372"/>
      <w:bookmarkStart w:id="147" w:name="_Toc387526391"/>
      <w:bookmarkStart w:id="148" w:name="_Toc511142454"/>
      <w:bookmarkStart w:id="149" w:name="_Toc368759377"/>
      <w:bookmarkStart w:id="150" w:name="_Toc387526195"/>
      <w:bookmarkStart w:id="151" w:name="_Toc368760429"/>
      <w:bookmarkStart w:id="152" w:name="_Toc387526299"/>
      <w:bookmarkStart w:id="153" w:name="_Toc369077563"/>
      <w:bookmarkStart w:id="154" w:name="_Toc19481"/>
      <w:bookmarkStart w:id="155" w:name="_Toc397928565"/>
      <w:bookmarkStart w:id="156" w:name="_Toc119718089"/>
      <w:r>
        <w:rPr>
          <w:rFonts w:hint="eastAsia" w:ascii="宋体" w:hAnsi="宋体" w:cs="宋体"/>
          <w:b/>
          <w:bCs/>
          <w:color w:val="auto"/>
          <w:sz w:val="32"/>
          <w:szCs w:val="32"/>
        </w:rPr>
        <w:t>3. 投标文件</w:t>
      </w:r>
      <w:bookmarkEnd w:id="145"/>
      <w:bookmarkEnd w:id="146"/>
      <w:bookmarkEnd w:id="147"/>
      <w:bookmarkEnd w:id="148"/>
      <w:bookmarkEnd w:id="149"/>
      <w:bookmarkEnd w:id="150"/>
      <w:bookmarkEnd w:id="151"/>
      <w:bookmarkEnd w:id="152"/>
      <w:bookmarkEnd w:id="153"/>
      <w:bookmarkEnd w:id="154"/>
      <w:bookmarkEnd w:id="155"/>
      <w:bookmarkStart w:id="157" w:name="_Toc387526392"/>
      <w:bookmarkStart w:id="158" w:name="_Toc511142455"/>
      <w:bookmarkStart w:id="159" w:name="_Toc397928566"/>
      <w:bookmarkStart w:id="160" w:name="_Toc387526196"/>
      <w:bookmarkStart w:id="161" w:name="_Toc5625"/>
      <w:bookmarkStart w:id="162" w:name="_Toc387526300"/>
    </w:p>
    <w:p>
      <w:pPr>
        <w:shd w:val="clear" w:color="auto" w:fill="FFFFFF"/>
        <w:autoSpaceDE w:val="0"/>
        <w:autoSpaceDN w:val="0"/>
        <w:adjustRightInd w:val="0"/>
        <w:spacing w:line="360" w:lineRule="auto"/>
        <w:ind w:firstLine="240" w:firstLineChars="100"/>
        <w:jc w:val="left"/>
        <w:rPr>
          <w:rFonts w:ascii="宋体" w:hAnsi="宋体" w:cs="宋体"/>
          <w:color w:val="auto"/>
          <w:sz w:val="24"/>
          <w:highlight w:val="white"/>
        </w:rPr>
      </w:pPr>
      <w:r>
        <w:rPr>
          <w:rFonts w:hint="eastAsia" w:ascii="宋体" w:hAnsi="宋体" w:cs="宋体"/>
          <w:color w:val="auto"/>
          <w:sz w:val="24"/>
          <w:highlight w:val="white"/>
        </w:rPr>
        <w:t>3.1 投标文件</w:t>
      </w:r>
      <w:bookmarkEnd w:id="156"/>
      <w:r>
        <w:rPr>
          <w:rFonts w:hint="eastAsia" w:ascii="宋体" w:hAnsi="宋体" w:cs="宋体"/>
          <w:color w:val="auto"/>
          <w:sz w:val="24"/>
          <w:highlight w:val="white"/>
        </w:rPr>
        <w:t>的组成</w:t>
      </w:r>
      <w:bookmarkEnd w:id="157"/>
      <w:bookmarkEnd w:id="158"/>
      <w:bookmarkEnd w:id="159"/>
      <w:bookmarkEnd w:id="160"/>
      <w:bookmarkEnd w:id="161"/>
      <w:bookmarkEnd w:id="162"/>
      <w:r>
        <w:rPr>
          <w:rFonts w:hint="eastAsia" w:ascii="宋体" w:hAnsi="宋体" w:cs="宋体"/>
          <w:color w:val="auto"/>
          <w:sz w:val="24"/>
          <w:highlight w:val="white"/>
        </w:rPr>
        <w:t>：投标文件包括资信文件、商务文件、技术文件及开标一览表</w:t>
      </w:r>
    </w:p>
    <w:p>
      <w:pPr>
        <w:shd w:val="clear" w:color="auto" w:fill="FFFFFF"/>
        <w:autoSpaceDE w:val="0"/>
        <w:autoSpaceDN w:val="0"/>
        <w:adjustRightInd w:val="0"/>
        <w:spacing w:line="360" w:lineRule="auto"/>
        <w:ind w:firstLine="240" w:firstLineChars="100"/>
        <w:jc w:val="left"/>
        <w:rPr>
          <w:rFonts w:ascii="宋体" w:hAnsi="宋体" w:cs="宋体"/>
          <w:color w:val="auto"/>
          <w:sz w:val="24"/>
          <w:highlight w:val="white"/>
        </w:rPr>
      </w:pPr>
      <w:r>
        <w:rPr>
          <w:rFonts w:hint="eastAsia" w:ascii="宋体" w:hAnsi="宋体" w:cs="宋体"/>
          <w:color w:val="auto"/>
          <w:sz w:val="24"/>
          <w:highlight w:val="white"/>
        </w:rPr>
        <w:t>3.1.1</w:t>
      </w:r>
      <w:r>
        <w:rPr>
          <w:rFonts w:hint="eastAsia" w:ascii="宋体" w:hAnsi="宋体" w:cs="宋体"/>
          <w:b/>
          <w:color w:val="auto"/>
          <w:sz w:val="24"/>
          <w:highlight w:val="white"/>
        </w:rPr>
        <w:t>资信文件</w:t>
      </w:r>
      <w:r>
        <w:rPr>
          <w:rFonts w:hint="eastAsia" w:ascii="宋体" w:hAnsi="宋体" w:cs="宋体"/>
          <w:color w:val="auto"/>
          <w:sz w:val="24"/>
          <w:highlight w:val="white"/>
        </w:rPr>
        <w:t>应包括如下内容：</w:t>
      </w:r>
    </w:p>
    <w:p>
      <w:pPr>
        <w:numPr>
          <w:ilvl w:val="255"/>
          <w:numId w:val="0"/>
        </w:numPr>
        <w:snapToGrid w:val="0"/>
        <w:spacing w:line="360" w:lineRule="auto"/>
        <w:ind w:firstLine="480" w:firstLineChars="200"/>
        <w:rPr>
          <w:rStyle w:val="132"/>
          <w:rFonts w:ascii="宋体" w:hAnsi="宋体" w:cs="宋体"/>
          <w:color w:val="auto"/>
          <w:sz w:val="24"/>
        </w:rPr>
      </w:pPr>
      <w:r>
        <w:rPr>
          <w:rStyle w:val="132"/>
          <w:rFonts w:hint="eastAsia" w:ascii="宋体" w:hAnsi="宋体" w:cs="宋体"/>
          <w:color w:val="auto"/>
          <w:sz w:val="24"/>
        </w:rPr>
        <w:t>A投标企业营业执照副本（复印件加盖投标单位公章）；</w:t>
      </w:r>
    </w:p>
    <w:p>
      <w:pPr>
        <w:numPr>
          <w:ilvl w:val="255"/>
          <w:numId w:val="0"/>
        </w:numPr>
        <w:snapToGrid w:val="0"/>
        <w:spacing w:line="360" w:lineRule="auto"/>
        <w:ind w:firstLine="480" w:firstLineChars="200"/>
        <w:rPr>
          <w:rStyle w:val="132"/>
          <w:rFonts w:ascii="宋体" w:hAnsi="宋体" w:cs="宋体"/>
          <w:color w:val="auto"/>
          <w:sz w:val="24"/>
        </w:rPr>
      </w:pPr>
      <w:r>
        <w:rPr>
          <w:rStyle w:val="132"/>
          <w:rFonts w:hint="eastAsia" w:ascii="宋体" w:hAnsi="宋体" w:cs="宋体"/>
          <w:color w:val="auto"/>
          <w:sz w:val="24"/>
        </w:rPr>
        <w:t>B《基础电信业务经营许可证》复印件（如是运营商的分（支）公司投标，需提供总公司基础电信业务许可证）</w:t>
      </w:r>
    </w:p>
    <w:p>
      <w:pPr>
        <w:numPr>
          <w:ilvl w:val="255"/>
          <w:numId w:val="0"/>
        </w:numPr>
        <w:snapToGrid w:val="0"/>
        <w:spacing w:line="360" w:lineRule="auto"/>
        <w:ind w:firstLine="480" w:firstLineChars="200"/>
        <w:rPr>
          <w:rFonts w:ascii="宋体" w:hAnsi="宋体" w:cs="宋体"/>
          <w:color w:val="auto"/>
          <w:sz w:val="24"/>
        </w:rPr>
      </w:pPr>
      <w:r>
        <w:rPr>
          <w:rStyle w:val="132"/>
          <w:rFonts w:hint="eastAsia" w:ascii="宋体" w:hAnsi="宋体" w:cs="宋体"/>
          <w:color w:val="auto"/>
          <w:sz w:val="24"/>
        </w:rPr>
        <w:t>C投标人应具备《中华人民共和国政府采购法》第二十二条规定的条件声明原件（格式自拟）</w:t>
      </w:r>
      <w:r>
        <w:rPr>
          <w:rFonts w:hint="eastAsia" w:ascii="宋体" w:hAnsi="宋体" w:cs="宋体"/>
          <w:color w:val="auto"/>
          <w:sz w:val="24"/>
          <w:shd w:val="clear" w:color="auto" w:fill="FFFFFF"/>
        </w:rPr>
        <w:t>。</w:t>
      </w:r>
    </w:p>
    <w:p>
      <w:pPr>
        <w:snapToGrid w:val="0"/>
        <w:spacing w:line="360" w:lineRule="auto"/>
        <w:ind w:firstLine="480" w:firstLineChars="200"/>
        <w:rPr>
          <w:rFonts w:ascii="宋体" w:hAnsi="宋体" w:cs="宋体"/>
          <w:b/>
          <w:color w:val="auto"/>
          <w:sz w:val="24"/>
        </w:rPr>
      </w:pPr>
      <w:r>
        <w:rPr>
          <w:rFonts w:hint="eastAsia" w:ascii="宋体" w:hAnsi="宋体" w:cs="宋体"/>
          <w:b/>
          <w:color w:val="auto"/>
          <w:sz w:val="24"/>
        </w:rPr>
        <w:t>以上内容为资格审查内容，若缺少则资格审查不通过，不进入后续评审。</w:t>
      </w:r>
    </w:p>
    <w:p>
      <w:pPr>
        <w:snapToGrid w:val="0"/>
        <w:spacing w:line="360" w:lineRule="auto"/>
        <w:ind w:firstLine="240" w:firstLineChars="100"/>
        <w:rPr>
          <w:rFonts w:ascii="宋体" w:hAnsi="宋体" w:cs="宋体"/>
          <w:color w:val="auto"/>
          <w:sz w:val="24"/>
          <w:highlight w:val="white"/>
        </w:rPr>
      </w:pPr>
      <w:r>
        <w:rPr>
          <w:rFonts w:hint="eastAsia" w:ascii="宋体" w:hAnsi="宋体" w:cs="宋体"/>
          <w:bCs/>
          <w:color w:val="auto"/>
          <w:sz w:val="24"/>
          <w:highlight w:val="white"/>
        </w:rPr>
        <w:t>3.1.2</w:t>
      </w:r>
      <w:r>
        <w:rPr>
          <w:rFonts w:hint="eastAsia" w:ascii="宋体" w:hAnsi="宋体" w:cs="宋体"/>
          <w:b/>
          <w:color w:val="auto"/>
          <w:sz w:val="24"/>
          <w:highlight w:val="white"/>
        </w:rPr>
        <w:t>商务文件</w:t>
      </w:r>
      <w:r>
        <w:rPr>
          <w:rFonts w:hint="eastAsia" w:ascii="宋体" w:hAnsi="宋体" w:cs="宋体"/>
          <w:color w:val="auto"/>
          <w:sz w:val="24"/>
          <w:highlight w:val="white"/>
        </w:rPr>
        <w:t>应包括如下内容：</w:t>
      </w:r>
    </w:p>
    <w:p>
      <w:pPr>
        <w:snapToGrid w:val="0"/>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投标函；</w:t>
      </w:r>
    </w:p>
    <w:p>
      <w:pPr>
        <w:snapToGrid w:val="0"/>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法定代表人证明、授权委托书（如有授权）；</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投标报价汇总表及报价明细表；</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中小企业声明函（如有）；</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盐城市大丰区政府招标采购供应商承诺书。（仅作为评审因素，不作为无效投标条款）</w:t>
      </w:r>
    </w:p>
    <w:p>
      <w:pPr>
        <w:pStyle w:val="2"/>
        <w:snapToGrid w:val="0"/>
        <w:spacing w:line="360" w:lineRule="auto"/>
        <w:ind w:firstLine="240"/>
        <w:rPr>
          <w:rFonts w:ascii="宋体" w:hAnsi="宋体" w:cs="宋体"/>
          <w:color w:val="auto"/>
          <w:sz w:val="24"/>
        </w:rPr>
      </w:pPr>
      <w:r>
        <w:rPr>
          <w:rFonts w:hint="eastAsia" w:ascii="宋体" w:hAnsi="宋体" w:cs="宋体"/>
          <w:color w:val="auto"/>
          <w:sz w:val="24"/>
        </w:rPr>
        <w:t>3.1.3</w:t>
      </w:r>
      <w:r>
        <w:rPr>
          <w:rFonts w:hint="eastAsia" w:ascii="宋体" w:hAnsi="宋体" w:cs="宋体"/>
          <w:b/>
          <w:bCs/>
          <w:color w:val="auto"/>
          <w:sz w:val="24"/>
        </w:rPr>
        <w:t>技术文件</w:t>
      </w:r>
      <w:r>
        <w:rPr>
          <w:rFonts w:hint="eastAsia" w:ascii="宋体" w:hAnsi="宋体" w:cs="宋体"/>
          <w:color w:val="auto"/>
          <w:sz w:val="24"/>
        </w:rPr>
        <w:t>应包括如下内容：</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投标人参考评标办法的相应评分角度，认为提供的其他技术资料。</w:t>
      </w:r>
    </w:p>
    <w:p>
      <w:pPr>
        <w:pStyle w:val="2"/>
        <w:snapToGrid w:val="0"/>
        <w:spacing w:line="360" w:lineRule="auto"/>
        <w:ind w:firstLine="480" w:firstLineChars="200"/>
        <w:rPr>
          <w:rFonts w:ascii="宋体" w:hAnsi="宋体" w:cs="宋体"/>
          <w:color w:val="auto"/>
          <w:sz w:val="24"/>
        </w:rPr>
      </w:pPr>
      <w:r>
        <w:rPr>
          <w:rFonts w:hint="eastAsia" w:ascii="宋体" w:hAnsi="宋体" w:cs="宋体"/>
          <w:color w:val="auto"/>
          <w:sz w:val="24"/>
        </w:rPr>
        <w:t>各投标人根据评分标准自行清晰组织文稿，也可自行增加认为需要补充的内容。</w:t>
      </w:r>
    </w:p>
    <w:p>
      <w:pPr>
        <w:pStyle w:val="2"/>
        <w:snapToGrid w:val="0"/>
        <w:spacing w:line="360" w:lineRule="auto"/>
        <w:ind w:firstLine="240"/>
        <w:rPr>
          <w:rFonts w:ascii="宋体" w:hAnsi="宋体" w:cs="宋体"/>
          <w:color w:val="auto"/>
          <w:sz w:val="24"/>
        </w:rPr>
      </w:pPr>
      <w:r>
        <w:rPr>
          <w:rFonts w:hint="eastAsia" w:ascii="宋体" w:hAnsi="宋体" w:cs="宋体"/>
          <w:color w:val="auto"/>
          <w:sz w:val="24"/>
        </w:rPr>
        <w:t>3.1.4</w:t>
      </w:r>
      <w:r>
        <w:rPr>
          <w:rFonts w:hint="eastAsia" w:ascii="宋体" w:hAnsi="宋体" w:cs="宋体"/>
          <w:b/>
          <w:bCs/>
          <w:color w:val="auto"/>
          <w:sz w:val="24"/>
        </w:rPr>
        <w:t>开标一览表</w:t>
      </w:r>
      <w:r>
        <w:rPr>
          <w:rFonts w:hint="eastAsia" w:ascii="宋体" w:hAnsi="宋体" w:cs="宋体"/>
          <w:color w:val="auto"/>
          <w:sz w:val="24"/>
        </w:rPr>
        <w:t>的要求</w:t>
      </w:r>
    </w:p>
    <w:p>
      <w:pPr>
        <w:spacing w:line="360" w:lineRule="auto"/>
        <w:ind w:firstLine="480" w:firstLineChars="200"/>
        <w:rPr>
          <w:rFonts w:ascii="宋体" w:hAnsi="宋体" w:cs="宋体"/>
          <w:b/>
          <w:color w:val="auto"/>
          <w:sz w:val="24"/>
        </w:rPr>
      </w:pPr>
      <w:r>
        <w:rPr>
          <w:rFonts w:hint="eastAsia" w:ascii="宋体" w:hAnsi="宋体" w:cs="宋体"/>
          <w:b/>
          <w:color w:val="auto"/>
          <w:sz w:val="24"/>
        </w:rPr>
        <w:t>开标一览表密封袋里须附（法定代表人身份证明书）或（授权委托代理人的身份证复印件及授权委托书）</w:t>
      </w:r>
    </w:p>
    <w:p>
      <w:pPr>
        <w:spacing w:line="400" w:lineRule="exact"/>
        <w:ind w:firstLine="480" w:firstLineChars="200"/>
        <w:rPr>
          <w:rFonts w:ascii="宋体" w:hAnsi="宋体" w:cs="宋体"/>
          <w:b/>
          <w:color w:val="auto"/>
          <w:sz w:val="24"/>
          <w:u w:val="single"/>
        </w:rPr>
      </w:pPr>
      <w:r>
        <w:rPr>
          <w:rFonts w:hint="eastAsia" w:ascii="宋体" w:hAnsi="宋体" w:cs="宋体"/>
          <w:b/>
          <w:color w:val="auto"/>
          <w:sz w:val="24"/>
        </w:rPr>
        <w:t>注</w:t>
      </w:r>
      <w:r>
        <w:rPr>
          <w:rFonts w:hint="eastAsia" w:ascii="宋体" w:hAnsi="宋体" w:cs="宋体"/>
          <w:color w:val="auto"/>
          <w:sz w:val="24"/>
        </w:rPr>
        <w:t>：</w:t>
      </w:r>
      <w:r>
        <w:rPr>
          <w:rFonts w:hint="eastAsia" w:ascii="宋体" w:hAnsi="宋体" w:cs="宋体"/>
          <w:b/>
          <w:color w:val="auto"/>
          <w:sz w:val="24"/>
          <w:u w:val="single"/>
        </w:rPr>
        <w:t>以上未曾涉及到、但评分标准中作为评分依据的，在投标文件自行增加。如需要提供原件证明材料的应密封包装，在递交投标文件时一并提交。</w:t>
      </w:r>
    </w:p>
    <w:p>
      <w:pPr>
        <w:spacing w:line="360" w:lineRule="auto"/>
        <w:ind w:firstLine="480" w:firstLineChars="200"/>
        <w:rPr>
          <w:rFonts w:ascii="宋体" w:hAnsi="宋体" w:cs="宋体"/>
          <w:color w:val="auto"/>
          <w:sz w:val="24"/>
        </w:rPr>
      </w:pPr>
      <w:r>
        <w:rPr>
          <w:rFonts w:hint="eastAsia" w:ascii="宋体" w:hAnsi="宋体" w:cs="宋体"/>
          <w:color w:val="auto"/>
          <w:sz w:val="24"/>
        </w:rPr>
        <w:t>3.1.5 第六章“投标文件格式”要求提供相关证明材料的复印件作为附件的，投标人应按要求在投标文件中提供相应材料，否则不予认可。</w:t>
      </w:r>
    </w:p>
    <w:p>
      <w:pPr>
        <w:pStyle w:val="5"/>
        <w:spacing w:before="60" w:after="60" w:line="360" w:lineRule="auto"/>
        <w:ind w:firstLine="118"/>
        <w:rPr>
          <w:rFonts w:ascii="宋体" w:hAnsi="宋体" w:eastAsia="宋体" w:cs="宋体"/>
          <w:color w:val="auto"/>
          <w:szCs w:val="24"/>
          <w:highlight w:val="white"/>
        </w:rPr>
      </w:pPr>
      <w:bookmarkStart w:id="163" w:name="_Toc387526393"/>
      <w:bookmarkStart w:id="164" w:name="_Toc387526197"/>
      <w:bookmarkStart w:id="165" w:name="_Toc387526301"/>
      <w:bookmarkStart w:id="166" w:name="_Toc10820"/>
      <w:bookmarkStart w:id="167" w:name="_Toc397928567"/>
      <w:bookmarkStart w:id="168" w:name="_Toc511142456"/>
      <w:r>
        <w:rPr>
          <w:rFonts w:hint="eastAsia" w:ascii="宋体" w:hAnsi="宋体" w:eastAsia="宋体" w:cs="宋体"/>
          <w:color w:val="auto"/>
          <w:szCs w:val="24"/>
          <w:highlight w:val="white"/>
        </w:rPr>
        <w:t>3.2 投标报价</w:t>
      </w:r>
      <w:bookmarkEnd w:id="163"/>
      <w:bookmarkEnd w:id="164"/>
      <w:bookmarkEnd w:id="165"/>
      <w:bookmarkEnd w:id="166"/>
      <w:bookmarkEnd w:id="167"/>
      <w:bookmarkEnd w:id="168"/>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3.2.1投标报价应包含本招标文件中的全部内容所需的所有费用。</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3.2.2投标人按投标人须知前附表的具体规定进行报价。</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3.2.3招标人设有最高投标限价的，投标人的投标报价不得超过最高投标限价，最高投标限价见投标人须知前附表。</w:t>
      </w:r>
    </w:p>
    <w:p>
      <w:pPr>
        <w:pStyle w:val="5"/>
        <w:spacing w:before="60" w:after="60" w:line="360" w:lineRule="auto"/>
        <w:ind w:firstLine="480" w:firstLineChars="200"/>
        <w:rPr>
          <w:rFonts w:ascii="宋体" w:hAnsi="宋体" w:eastAsia="宋体" w:cs="宋体"/>
          <w:color w:val="auto"/>
          <w:szCs w:val="24"/>
          <w:highlight w:val="white"/>
        </w:rPr>
      </w:pPr>
      <w:r>
        <w:rPr>
          <w:rFonts w:hint="eastAsia" w:ascii="宋体" w:hAnsi="宋体" w:eastAsia="宋体" w:cs="宋体"/>
          <w:color w:val="auto"/>
          <w:szCs w:val="24"/>
          <w:highlight w:val="white"/>
        </w:rPr>
        <w:t>3.2.4计价方式</w:t>
      </w:r>
    </w:p>
    <w:p>
      <w:pPr>
        <w:spacing w:line="360" w:lineRule="auto"/>
        <w:ind w:firstLine="480" w:firstLineChars="200"/>
        <w:rPr>
          <w:rStyle w:val="132"/>
          <w:rFonts w:ascii="宋体" w:hAnsi="宋体" w:cs="宋体"/>
          <w:color w:val="auto"/>
          <w:sz w:val="24"/>
        </w:rPr>
      </w:pPr>
      <w:r>
        <w:rPr>
          <w:rStyle w:val="132"/>
          <w:rFonts w:hint="eastAsia" w:ascii="宋体" w:hAnsi="宋体" w:cs="宋体"/>
          <w:color w:val="auto"/>
          <w:sz w:val="24"/>
        </w:rPr>
        <w:t>（1）投标人应充分了解该项目的总体情况以及影响投标报价的其他要素。</w:t>
      </w:r>
    </w:p>
    <w:p>
      <w:pPr>
        <w:spacing w:line="560" w:lineRule="exact"/>
        <w:ind w:firstLine="480" w:firstLineChars="200"/>
        <w:rPr>
          <w:rStyle w:val="132"/>
          <w:rFonts w:ascii="宋体" w:hAnsi="宋体" w:cs="宋体"/>
          <w:color w:val="auto"/>
          <w:sz w:val="24"/>
        </w:rPr>
      </w:pPr>
      <w:r>
        <w:rPr>
          <w:rStyle w:val="132"/>
          <w:rFonts w:hint="eastAsia" w:ascii="宋体" w:hAnsi="宋体" w:cs="宋体"/>
          <w:color w:val="auto"/>
          <w:sz w:val="24"/>
        </w:rPr>
        <w:t>（2）采用固定总价报价，投标报价应是在投标文件所承诺的合同履行期限内并达到投标人所承诺的质量标准为完成招标文件所确定的招标范围的全部内容所需费用的全部价格体现。包括但不限于相关服务费、人工费、材料费、光纤联网使用费、整合资源费、技术服务费、税费、企业管理费、利润、招标代理费等服务费用以及所有不可预见的全部相关费用（应充分考虑所有风险、责任等），结算时招标采购单位不另外增加任何费用给中标人。招标文件未列明，而投标人认为必需的费用也需列入报价。</w:t>
      </w:r>
    </w:p>
    <w:p>
      <w:pPr>
        <w:pStyle w:val="5"/>
        <w:spacing w:before="60" w:after="60" w:line="360" w:lineRule="auto"/>
        <w:ind w:firstLine="480" w:firstLineChars="200"/>
        <w:rPr>
          <w:rFonts w:ascii="宋体" w:hAnsi="宋体" w:eastAsia="宋体" w:cs="宋体"/>
          <w:color w:val="auto"/>
          <w:szCs w:val="24"/>
          <w:highlight w:val="white"/>
        </w:rPr>
      </w:pPr>
      <w:bookmarkStart w:id="169" w:name="_Toc511142457"/>
      <w:bookmarkStart w:id="170" w:name="_Toc387526394"/>
      <w:bookmarkStart w:id="171" w:name="_Toc21008"/>
      <w:bookmarkStart w:id="172" w:name="_Toc387526198"/>
      <w:bookmarkStart w:id="173" w:name="_Toc397928568"/>
      <w:bookmarkStart w:id="174" w:name="_Toc387526302"/>
      <w:r>
        <w:rPr>
          <w:rFonts w:hint="eastAsia" w:ascii="宋体" w:hAnsi="宋体" w:eastAsia="宋体" w:cs="宋体"/>
          <w:color w:val="auto"/>
          <w:szCs w:val="24"/>
          <w:highlight w:val="white"/>
        </w:rPr>
        <w:t>3.3 投标有效期</w:t>
      </w:r>
      <w:bookmarkEnd w:id="169"/>
      <w:bookmarkEnd w:id="170"/>
      <w:bookmarkEnd w:id="171"/>
      <w:bookmarkEnd w:id="172"/>
      <w:bookmarkEnd w:id="173"/>
      <w:bookmarkEnd w:id="174"/>
    </w:p>
    <w:p>
      <w:pPr>
        <w:spacing w:line="360" w:lineRule="auto"/>
        <w:ind w:firstLine="480" w:firstLineChars="200"/>
        <w:rPr>
          <w:rFonts w:ascii="宋体" w:hAnsi="宋体" w:cs="宋体"/>
          <w:color w:val="auto"/>
          <w:sz w:val="24"/>
        </w:rPr>
      </w:pPr>
      <w:r>
        <w:rPr>
          <w:rFonts w:hint="eastAsia" w:ascii="宋体" w:hAnsi="宋体" w:cs="宋体"/>
          <w:color w:val="auto"/>
          <w:sz w:val="24"/>
          <w:highlight w:val="white"/>
        </w:rPr>
        <w:t>3.3.1 在投标人须知前附表第3.3.1条规定的投标有效期内，投标人不得要求撤销或修改其投标文件。</w:t>
      </w:r>
    </w:p>
    <w:p>
      <w:pPr>
        <w:spacing w:line="360" w:lineRule="auto"/>
        <w:ind w:firstLine="480" w:firstLineChars="200"/>
        <w:rPr>
          <w:rFonts w:ascii="宋体" w:hAnsi="宋体" w:cs="宋体"/>
          <w:color w:val="auto"/>
          <w:sz w:val="24"/>
          <w:highlight w:val="white"/>
        </w:rPr>
      </w:pPr>
      <w:r>
        <w:rPr>
          <w:rFonts w:hint="eastAsia" w:ascii="宋体" w:hAnsi="宋体" w:cs="宋体"/>
          <w:color w:val="auto"/>
          <w:sz w:val="24"/>
          <w:highlight w:val="white"/>
        </w:rPr>
        <w:t>3.3.2</w:t>
      </w:r>
      <w:r>
        <w:rPr>
          <w:rFonts w:hint="eastAsia" w:ascii="宋体" w:hAnsi="宋体" w:cs="宋体"/>
          <w:color w:val="auto"/>
          <w:sz w:val="24"/>
        </w:rPr>
        <w:t>.出现特殊情况需要延长投标有效期的，招标人应通知所有投标人延长投标有效期，如投标人不作相应延长，则按法律法规作出相对应的处理。</w:t>
      </w:r>
    </w:p>
    <w:p>
      <w:pPr>
        <w:pStyle w:val="5"/>
        <w:spacing w:before="60" w:after="60" w:line="360" w:lineRule="auto"/>
        <w:ind w:firstLine="118"/>
        <w:rPr>
          <w:rFonts w:ascii="宋体" w:hAnsi="宋体" w:eastAsia="宋体" w:cs="宋体"/>
          <w:color w:val="auto"/>
          <w:szCs w:val="24"/>
          <w:highlight w:val="white"/>
        </w:rPr>
      </w:pPr>
      <w:bookmarkStart w:id="175" w:name="_Toc387526199"/>
      <w:bookmarkStart w:id="176" w:name="_Toc387526303"/>
      <w:bookmarkStart w:id="177" w:name="_Toc387526395"/>
      <w:bookmarkStart w:id="178" w:name="_Toc511142458"/>
      <w:bookmarkStart w:id="179" w:name="_Toc397928569"/>
      <w:bookmarkStart w:id="180" w:name="_Toc15701"/>
      <w:r>
        <w:rPr>
          <w:rFonts w:hint="eastAsia" w:ascii="宋体" w:hAnsi="宋体" w:eastAsia="宋体" w:cs="宋体"/>
          <w:color w:val="auto"/>
          <w:szCs w:val="24"/>
          <w:highlight w:val="white"/>
        </w:rPr>
        <w:t>3.4投标保证金</w:t>
      </w:r>
      <w:bookmarkEnd w:id="175"/>
      <w:bookmarkEnd w:id="176"/>
      <w:bookmarkEnd w:id="177"/>
      <w:bookmarkEnd w:id="178"/>
      <w:bookmarkEnd w:id="179"/>
      <w:bookmarkEnd w:id="180"/>
    </w:p>
    <w:p>
      <w:pPr>
        <w:spacing w:line="360" w:lineRule="auto"/>
        <w:ind w:firstLine="480" w:firstLineChars="200"/>
        <w:rPr>
          <w:rFonts w:ascii="宋体" w:hAnsi="宋体" w:cs="宋体"/>
          <w:color w:val="auto"/>
          <w:sz w:val="24"/>
        </w:rPr>
      </w:pPr>
      <w:r>
        <w:rPr>
          <w:rFonts w:hint="eastAsia" w:ascii="宋体" w:hAnsi="宋体" w:cs="宋体"/>
          <w:color w:val="auto"/>
          <w:sz w:val="24"/>
        </w:rPr>
        <w:t>根据盐财购〔2020〕11号、苏财购〔2020〕52号文件，取消政府采购投标保证金。</w:t>
      </w:r>
    </w:p>
    <w:p>
      <w:pPr>
        <w:pStyle w:val="5"/>
        <w:spacing w:line="360" w:lineRule="auto"/>
        <w:ind w:firstLine="118"/>
        <w:rPr>
          <w:rFonts w:ascii="宋体" w:hAnsi="宋体" w:eastAsia="宋体" w:cs="宋体"/>
          <w:bCs/>
          <w:color w:val="auto"/>
          <w:szCs w:val="24"/>
        </w:rPr>
      </w:pPr>
      <w:bookmarkStart w:id="181" w:name="_Toc511142459"/>
      <w:bookmarkStart w:id="182" w:name="_Toc397928570"/>
      <w:bookmarkStart w:id="183" w:name="_Toc24952"/>
      <w:bookmarkStart w:id="184" w:name="_Toc269310939"/>
      <w:bookmarkStart w:id="185" w:name="_Toc324255909"/>
      <w:bookmarkStart w:id="186" w:name="_Toc339359765"/>
      <w:r>
        <w:rPr>
          <w:rFonts w:hint="eastAsia" w:ascii="宋体" w:hAnsi="宋体" w:eastAsia="宋体" w:cs="宋体"/>
          <w:bCs/>
          <w:color w:val="auto"/>
          <w:szCs w:val="24"/>
        </w:rPr>
        <w:t>3.5 资格审查资料</w:t>
      </w:r>
      <w:bookmarkEnd w:id="181"/>
      <w:bookmarkEnd w:id="182"/>
      <w:bookmarkEnd w:id="183"/>
    </w:p>
    <w:p>
      <w:pPr>
        <w:spacing w:line="360" w:lineRule="auto"/>
        <w:ind w:firstLine="480" w:firstLineChars="200"/>
        <w:rPr>
          <w:rFonts w:ascii="宋体" w:hAnsi="宋体" w:cs="宋体"/>
          <w:color w:val="auto"/>
          <w:sz w:val="24"/>
        </w:rPr>
      </w:pPr>
      <w:r>
        <w:rPr>
          <w:rFonts w:hint="eastAsia" w:ascii="宋体" w:hAnsi="宋体" w:cs="宋体"/>
          <w:color w:val="auto"/>
          <w:sz w:val="24"/>
        </w:rPr>
        <w:t>投标人在编制投标文件时，应按照本章3.1.1的要求提供资料。</w:t>
      </w:r>
    </w:p>
    <w:p>
      <w:pPr>
        <w:pStyle w:val="5"/>
        <w:spacing w:before="60" w:after="60" w:line="360" w:lineRule="auto"/>
        <w:ind w:firstLine="118"/>
        <w:rPr>
          <w:rFonts w:ascii="宋体" w:hAnsi="宋体" w:eastAsia="宋体" w:cs="宋体"/>
          <w:color w:val="auto"/>
          <w:szCs w:val="24"/>
          <w:highlight w:val="white"/>
        </w:rPr>
      </w:pPr>
      <w:bookmarkStart w:id="187" w:name="_Toc511142460"/>
      <w:bookmarkStart w:id="188" w:name="_Toc387526396"/>
      <w:bookmarkStart w:id="189" w:name="_Toc397928571"/>
      <w:bookmarkStart w:id="190" w:name="_Toc22895"/>
      <w:bookmarkStart w:id="191" w:name="_Toc387526200"/>
      <w:bookmarkStart w:id="192" w:name="_Toc387526304"/>
      <w:r>
        <w:rPr>
          <w:rFonts w:hint="eastAsia" w:ascii="宋体" w:hAnsi="宋体" w:eastAsia="宋体" w:cs="宋体"/>
          <w:color w:val="auto"/>
          <w:szCs w:val="24"/>
          <w:highlight w:val="white"/>
        </w:rPr>
        <w:t>3.6 备选投标方案</w:t>
      </w:r>
      <w:bookmarkEnd w:id="184"/>
      <w:bookmarkEnd w:id="185"/>
      <w:bookmarkEnd w:id="186"/>
      <w:bookmarkEnd w:id="187"/>
      <w:bookmarkEnd w:id="188"/>
      <w:bookmarkEnd w:id="189"/>
      <w:bookmarkEnd w:id="190"/>
      <w:bookmarkEnd w:id="191"/>
      <w:bookmarkEnd w:id="192"/>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除投标人须知前附表另有规定外，投标人不得提交备选投标方案。</w:t>
      </w:r>
    </w:p>
    <w:p>
      <w:pPr>
        <w:pStyle w:val="5"/>
        <w:spacing w:before="60" w:after="60" w:line="360" w:lineRule="auto"/>
        <w:ind w:firstLine="118"/>
        <w:rPr>
          <w:rFonts w:ascii="宋体" w:hAnsi="宋体" w:eastAsia="宋体" w:cs="宋体"/>
          <w:color w:val="auto"/>
          <w:szCs w:val="24"/>
          <w:highlight w:val="white"/>
        </w:rPr>
      </w:pPr>
      <w:bookmarkStart w:id="193" w:name="_Toc387526201"/>
      <w:bookmarkStart w:id="194" w:name="_Toc511142461"/>
      <w:bookmarkStart w:id="195" w:name="_Toc387526305"/>
      <w:bookmarkStart w:id="196" w:name="_Toc397928572"/>
      <w:bookmarkStart w:id="197" w:name="_Toc387526397"/>
      <w:bookmarkStart w:id="198" w:name="_Toc16855"/>
      <w:r>
        <w:rPr>
          <w:rFonts w:hint="eastAsia" w:ascii="宋体" w:hAnsi="宋体" w:eastAsia="宋体" w:cs="宋体"/>
          <w:color w:val="auto"/>
          <w:szCs w:val="24"/>
          <w:highlight w:val="white"/>
        </w:rPr>
        <w:t>3.7 投标文件的编制</w:t>
      </w:r>
      <w:bookmarkEnd w:id="193"/>
      <w:bookmarkEnd w:id="194"/>
      <w:bookmarkEnd w:id="195"/>
      <w:bookmarkEnd w:id="196"/>
      <w:bookmarkEnd w:id="197"/>
      <w:bookmarkEnd w:id="198"/>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3.7.1 投标文件应按“投标文件格式”进行编写，如有必要，可以增加附页，作为投标文件的组成部分。</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3.7.2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3.7.3 投标文件正本一份，副本份数见投标人须知前附表。正本和副本的封面上应清楚地标记“正本”或“副本”的字样。当副本和正本不一致时，以正本为准。</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3.7.4 投标文件的正本与副本应分别装订成册，并编制目录，具体装订要求见投标人须知前附表规定。</w:t>
      </w:r>
    </w:p>
    <w:p>
      <w:pPr>
        <w:pStyle w:val="124"/>
        <w:spacing w:line="240" w:lineRule="auto"/>
        <w:rPr>
          <w:rFonts w:ascii="宋体" w:hAnsi="宋体"/>
          <w:color w:val="auto"/>
          <w:sz w:val="21"/>
          <w:szCs w:val="21"/>
        </w:rPr>
      </w:pPr>
      <w:bookmarkStart w:id="199" w:name="_Toc368760430"/>
      <w:bookmarkStart w:id="200" w:name="_Toc397928573"/>
      <w:bookmarkStart w:id="201" w:name="_Toc184635074"/>
      <w:bookmarkStart w:id="202" w:name="_Toc387526306"/>
      <w:bookmarkStart w:id="203" w:name="_Toc387526398"/>
      <w:bookmarkStart w:id="204" w:name="_Toc368759378"/>
      <w:bookmarkStart w:id="205" w:name="_Toc369077564"/>
      <w:bookmarkStart w:id="206" w:name="_Toc387526202"/>
      <w:bookmarkStart w:id="207" w:name="_Toc24421"/>
      <w:bookmarkStart w:id="208" w:name="_Toc363329373"/>
      <w:bookmarkStart w:id="209" w:name="_Toc367894801"/>
      <w:bookmarkStart w:id="210" w:name="_Toc511142462"/>
      <w:bookmarkStart w:id="211" w:name="_Toc363329374"/>
      <w:bookmarkStart w:id="212" w:name="_Toc184635075"/>
      <w:bookmarkStart w:id="213" w:name="_Toc367894802"/>
      <w:bookmarkStart w:id="214" w:name="_Toc368759379"/>
      <w:r>
        <w:rPr>
          <w:rFonts w:hint="eastAsia" w:ascii="宋体" w:hAnsi="宋体"/>
          <w:color w:val="auto"/>
        </w:rPr>
        <w:t>4. 投标</w:t>
      </w:r>
      <w:bookmarkEnd w:id="199"/>
      <w:bookmarkEnd w:id="200"/>
      <w:bookmarkEnd w:id="201"/>
      <w:bookmarkEnd w:id="202"/>
      <w:bookmarkEnd w:id="203"/>
      <w:bookmarkEnd w:id="204"/>
      <w:bookmarkEnd w:id="205"/>
      <w:bookmarkEnd w:id="206"/>
      <w:bookmarkEnd w:id="207"/>
      <w:bookmarkEnd w:id="208"/>
      <w:bookmarkEnd w:id="209"/>
      <w:bookmarkEnd w:id="210"/>
    </w:p>
    <w:p>
      <w:pPr>
        <w:pStyle w:val="5"/>
        <w:spacing w:line="360" w:lineRule="auto"/>
        <w:ind w:firstLine="118"/>
        <w:rPr>
          <w:rFonts w:ascii="宋体" w:hAnsi="宋体" w:eastAsia="宋体" w:cs="宋体"/>
          <w:color w:val="auto"/>
          <w:szCs w:val="24"/>
        </w:rPr>
      </w:pPr>
      <w:bookmarkStart w:id="215" w:name="_Toc511142463"/>
      <w:bookmarkStart w:id="216" w:name="_Toc387526203"/>
      <w:bookmarkStart w:id="217" w:name="_Toc27481"/>
      <w:bookmarkStart w:id="218" w:name="_Toc387526399"/>
      <w:bookmarkStart w:id="219" w:name="_Toc387526307"/>
      <w:bookmarkStart w:id="220" w:name="_Toc397928574"/>
      <w:r>
        <w:rPr>
          <w:rFonts w:hint="eastAsia" w:ascii="宋体" w:hAnsi="宋体" w:eastAsia="宋体" w:cs="宋体"/>
          <w:color w:val="auto"/>
          <w:szCs w:val="24"/>
        </w:rPr>
        <w:t>4.1 投标文件的密封和标记</w:t>
      </w:r>
      <w:bookmarkEnd w:id="215"/>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4.1.1 投标文件应清楚地标记“正本”、“副本”字样，并包装密封提交；</w:t>
      </w:r>
      <w:bookmarkEnd w:id="216"/>
      <w:bookmarkEnd w:id="217"/>
      <w:bookmarkEnd w:id="218"/>
      <w:bookmarkEnd w:id="219"/>
      <w:bookmarkEnd w:id="220"/>
      <w:bookmarkStart w:id="221" w:name="_Toc387526204"/>
      <w:bookmarkStart w:id="222" w:name="_Toc7888"/>
      <w:bookmarkStart w:id="223" w:name="_Toc387526308"/>
      <w:bookmarkStart w:id="224" w:name="_Toc387526400"/>
      <w:r>
        <w:rPr>
          <w:rFonts w:hint="eastAsia" w:ascii="宋体" w:hAnsi="宋体" w:cs="宋体"/>
          <w:color w:val="auto"/>
          <w:kern w:val="0"/>
          <w:sz w:val="24"/>
        </w:rPr>
        <w:t>密封袋包装封面上应注明投标人名称、投标项目名称、项目编号、“开标时启封”字样，并加盖投标人公章。</w:t>
      </w:r>
    </w:p>
    <w:p>
      <w:pPr>
        <w:pStyle w:val="5"/>
        <w:spacing w:line="360" w:lineRule="auto"/>
        <w:ind w:firstLine="118"/>
        <w:rPr>
          <w:rFonts w:ascii="宋体" w:hAnsi="宋体" w:eastAsia="宋体" w:cs="宋体"/>
          <w:color w:val="auto"/>
          <w:szCs w:val="24"/>
        </w:rPr>
      </w:pPr>
      <w:bookmarkStart w:id="225" w:name="_Toc511142464"/>
      <w:bookmarkStart w:id="226" w:name="_Toc397928575"/>
      <w:r>
        <w:rPr>
          <w:rFonts w:hint="eastAsia" w:ascii="宋体" w:hAnsi="宋体" w:eastAsia="宋体" w:cs="宋体"/>
          <w:color w:val="auto"/>
          <w:szCs w:val="24"/>
        </w:rPr>
        <w:t>4.2 投标文件的递交</w:t>
      </w:r>
      <w:bookmarkEnd w:id="221"/>
      <w:bookmarkEnd w:id="222"/>
      <w:bookmarkEnd w:id="223"/>
      <w:bookmarkEnd w:id="224"/>
      <w:bookmarkEnd w:id="225"/>
      <w:bookmarkEnd w:id="226"/>
    </w:p>
    <w:p>
      <w:pPr>
        <w:spacing w:line="360" w:lineRule="auto"/>
        <w:ind w:firstLine="420"/>
        <w:rPr>
          <w:rFonts w:ascii="宋体" w:hAnsi="宋体" w:cs="宋体"/>
          <w:color w:val="auto"/>
          <w:sz w:val="24"/>
          <w:highlight w:val="white"/>
        </w:rPr>
      </w:pPr>
      <w:r>
        <w:rPr>
          <w:rFonts w:hint="eastAsia" w:ascii="宋体" w:hAnsi="宋体" w:cs="宋体"/>
          <w:color w:val="auto"/>
          <w:sz w:val="24"/>
        </w:rPr>
        <w:t>4.2.1 投</w:t>
      </w:r>
      <w:r>
        <w:rPr>
          <w:rFonts w:hint="eastAsia" w:ascii="宋体" w:hAnsi="宋体" w:cs="宋体"/>
          <w:color w:val="auto"/>
          <w:sz w:val="24"/>
          <w:highlight w:val="white"/>
        </w:rPr>
        <w:t>标人应在投标人须知前附表规定的投标截止时间前递交投标文件。</w:t>
      </w:r>
    </w:p>
    <w:p>
      <w:pPr>
        <w:spacing w:line="360" w:lineRule="auto"/>
        <w:ind w:firstLine="1200" w:firstLineChars="500"/>
        <w:rPr>
          <w:rFonts w:ascii="宋体" w:hAnsi="宋体" w:cs="宋体"/>
          <w:color w:val="auto"/>
          <w:sz w:val="24"/>
          <w:highlight w:val="white"/>
        </w:rPr>
      </w:pPr>
      <w:r>
        <w:rPr>
          <w:rFonts w:hint="eastAsia" w:ascii="宋体" w:hAnsi="宋体" w:cs="宋体"/>
          <w:color w:val="auto"/>
          <w:sz w:val="24"/>
          <w:highlight w:val="white"/>
        </w:rPr>
        <w:t>投标人递交投标文件的地点：见投标人须知前附表。</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4.2.2 除投标人须知前附表另有规定外，投标人所递交的投标文件不予退还。</w:t>
      </w:r>
    </w:p>
    <w:p>
      <w:pPr>
        <w:pStyle w:val="5"/>
        <w:spacing w:line="360" w:lineRule="auto"/>
        <w:ind w:firstLine="118"/>
        <w:rPr>
          <w:rFonts w:ascii="宋体" w:hAnsi="宋体" w:eastAsia="宋体" w:cs="宋体"/>
          <w:color w:val="auto"/>
          <w:szCs w:val="24"/>
        </w:rPr>
      </w:pPr>
      <w:bookmarkStart w:id="227" w:name="_Toc387526401"/>
      <w:bookmarkStart w:id="228" w:name="_Toc511142465"/>
      <w:bookmarkStart w:id="229" w:name="_Toc397928576"/>
      <w:bookmarkStart w:id="230" w:name="_Toc387526309"/>
      <w:bookmarkStart w:id="231" w:name="_Toc387526205"/>
      <w:bookmarkStart w:id="232" w:name="_Toc12008"/>
      <w:r>
        <w:rPr>
          <w:rFonts w:hint="eastAsia" w:ascii="宋体" w:hAnsi="宋体" w:eastAsia="宋体" w:cs="宋体"/>
          <w:color w:val="auto"/>
          <w:szCs w:val="24"/>
        </w:rPr>
        <w:t>4.3 投标文件的修改与撤回</w:t>
      </w:r>
      <w:bookmarkEnd w:id="227"/>
      <w:bookmarkEnd w:id="228"/>
      <w:bookmarkEnd w:id="229"/>
      <w:bookmarkEnd w:id="230"/>
      <w:bookmarkEnd w:id="231"/>
      <w:bookmarkEnd w:id="232"/>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4.3.1 在投标人须知前附表规定的投标截止时间前，投标人可以修改或撤回已递交的投标文件，但应以书面形式通知招标人。</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4.3.2 投标人修改或撤回已递交投标文件的书面通知应按照本章第3.7.2项的要求签字或盖章。</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4.3.3 修改的内容为投标文件的组成部分。修改的投标文件应按照本章规定进行编制、密封、标记和递交，并标明“修改”字样。</w:t>
      </w:r>
    </w:p>
    <w:p>
      <w:pPr>
        <w:pStyle w:val="5"/>
        <w:spacing w:line="360" w:lineRule="auto"/>
        <w:ind w:firstLine="118"/>
        <w:rPr>
          <w:rFonts w:ascii="宋体" w:hAnsi="宋体" w:eastAsia="宋体" w:cs="宋体"/>
          <w:color w:val="auto"/>
          <w:szCs w:val="24"/>
        </w:rPr>
      </w:pPr>
      <w:bookmarkStart w:id="233" w:name="_Toc11740"/>
      <w:bookmarkStart w:id="234" w:name="_Toc397928577"/>
      <w:bookmarkStart w:id="235" w:name="_Toc511142466"/>
      <w:r>
        <w:rPr>
          <w:rFonts w:hint="eastAsia" w:ascii="宋体" w:hAnsi="宋体" w:eastAsia="宋体" w:cs="宋体"/>
          <w:color w:val="auto"/>
          <w:szCs w:val="24"/>
        </w:rPr>
        <w:t>4.4 不予接收的投标文件</w:t>
      </w:r>
      <w:bookmarkEnd w:id="233"/>
      <w:bookmarkEnd w:id="234"/>
      <w:bookmarkEnd w:id="235"/>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4.4.1未按招标文件规定密封的投标文件，招标人有权不予接收。</w:t>
      </w:r>
    </w:p>
    <w:p>
      <w:pPr>
        <w:spacing w:line="360" w:lineRule="auto"/>
        <w:ind w:firstLine="420"/>
        <w:rPr>
          <w:rFonts w:ascii="宋体" w:hAnsi="宋体" w:cs="宋体"/>
          <w:color w:val="auto"/>
          <w:szCs w:val="21"/>
          <w:highlight w:val="white"/>
        </w:rPr>
      </w:pPr>
      <w:r>
        <w:rPr>
          <w:rFonts w:hint="eastAsia" w:ascii="宋体" w:hAnsi="宋体" w:cs="宋体"/>
          <w:color w:val="auto"/>
          <w:sz w:val="24"/>
          <w:highlight w:val="white"/>
        </w:rPr>
        <w:t>4.4.2逾期送达或者未送达指定地点的投标文件，招标人不予接收；对在争议时间点接收的投标文件，后被认定逾期送达的，视同不予接收。</w:t>
      </w:r>
    </w:p>
    <w:p>
      <w:pPr>
        <w:pStyle w:val="124"/>
        <w:spacing w:line="240" w:lineRule="auto"/>
        <w:rPr>
          <w:rFonts w:ascii="宋体" w:hAnsi="宋体"/>
          <w:color w:val="auto"/>
        </w:rPr>
      </w:pPr>
      <w:bookmarkStart w:id="236" w:name="_Toc387526206"/>
      <w:bookmarkStart w:id="237" w:name="_Toc368760431"/>
      <w:bookmarkStart w:id="238" w:name="_Toc397928578"/>
      <w:bookmarkStart w:id="239" w:name="_Toc387526402"/>
      <w:bookmarkStart w:id="240" w:name="_Toc511142467"/>
      <w:bookmarkStart w:id="241" w:name="_Toc22329"/>
      <w:bookmarkStart w:id="242" w:name="_Toc369077565"/>
      <w:bookmarkStart w:id="243" w:name="_Toc387526310"/>
      <w:bookmarkStart w:id="244" w:name="_Toc246996210"/>
      <w:bookmarkStart w:id="245" w:name="_Toc144974534"/>
      <w:bookmarkStart w:id="246" w:name="_Toc247085724"/>
      <w:bookmarkStart w:id="247" w:name="_Toc368759381"/>
      <w:bookmarkStart w:id="248" w:name="_Toc246996953"/>
      <w:bookmarkStart w:id="249" w:name="_Toc366679697"/>
      <w:bookmarkStart w:id="250" w:name="_Toc179632584"/>
      <w:bookmarkStart w:id="251" w:name="_Toc152042342"/>
      <w:bookmarkStart w:id="252" w:name="_Toc152045566"/>
      <w:r>
        <w:rPr>
          <w:rFonts w:hint="eastAsia" w:ascii="宋体" w:hAnsi="宋体"/>
          <w:color w:val="auto"/>
        </w:rPr>
        <w:t>5. 开标</w:t>
      </w:r>
      <w:bookmarkEnd w:id="236"/>
      <w:bookmarkEnd w:id="237"/>
      <w:bookmarkEnd w:id="238"/>
      <w:bookmarkEnd w:id="239"/>
      <w:bookmarkEnd w:id="240"/>
      <w:bookmarkEnd w:id="241"/>
      <w:bookmarkEnd w:id="242"/>
      <w:bookmarkEnd w:id="243"/>
    </w:p>
    <w:p>
      <w:pPr>
        <w:pStyle w:val="5"/>
        <w:spacing w:line="360" w:lineRule="auto"/>
        <w:ind w:firstLine="118"/>
        <w:rPr>
          <w:rFonts w:ascii="宋体" w:hAnsi="宋体" w:eastAsia="宋体" w:cs="宋体"/>
          <w:color w:val="auto"/>
          <w:szCs w:val="24"/>
        </w:rPr>
      </w:pPr>
      <w:bookmarkStart w:id="253" w:name="_Toc3233"/>
      <w:bookmarkStart w:id="254" w:name="_Toc511142468"/>
      <w:bookmarkStart w:id="255" w:name="_Toc387526311"/>
      <w:bookmarkStart w:id="256" w:name="_Toc397928579"/>
      <w:bookmarkStart w:id="257" w:name="_Toc387526403"/>
      <w:bookmarkStart w:id="258" w:name="_Toc387526207"/>
      <w:r>
        <w:rPr>
          <w:rFonts w:hint="eastAsia" w:ascii="宋体" w:hAnsi="宋体" w:eastAsia="宋体" w:cs="宋体"/>
          <w:color w:val="auto"/>
          <w:szCs w:val="24"/>
        </w:rPr>
        <w:t>5.1 开标时间和地点</w:t>
      </w:r>
      <w:bookmarkEnd w:id="253"/>
      <w:bookmarkEnd w:id="254"/>
      <w:bookmarkEnd w:id="255"/>
      <w:bookmarkEnd w:id="256"/>
      <w:bookmarkEnd w:id="257"/>
      <w:bookmarkEnd w:id="258"/>
    </w:p>
    <w:p>
      <w:pPr>
        <w:pStyle w:val="40"/>
        <w:spacing w:after="0" w:line="360" w:lineRule="auto"/>
        <w:ind w:left="0" w:firstLine="480" w:firstLineChars="200"/>
        <w:rPr>
          <w:rFonts w:ascii="宋体" w:hAnsi="宋体" w:cs="宋体"/>
          <w:color w:val="auto"/>
          <w:sz w:val="24"/>
        </w:rPr>
      </w:pPr>
      <w:r>
        <w:rPr>
          <w:rFonts w:hint="eastAsia" w:ascii="宋体" w:hAnsi="宋体" w:cs="宋体"/>
          <w:color w:val="auto"/>
          <w:sz w:val="24"/>
          <w:highlight w:val="white"/>
        </w:rPr>
        <w:t>招标人在投标人须知前附表规定的开标时间和地点公开开标，并邀请所有投标人准时参加视频会议。</w:t>
      </w:r>
    </w:p>
    <w:p>
      <w:pPr>
        <w:pStyle w:val="5"/>
        <w:spacing w:line="360" w:lineRule="auto"/>
        <w:ind w:firstLine="118"/>
        <w:rPr>
          <w:rFonts w:ascii="宋体" w:hAnsi="宋体" w:eastAsia="宋体" w:cs="宋体"/>
          <w:color w:val="auto"/>
          <w:szCs w:val="24"/>
        </w:rPr>
      </w:pPr>
      <w:bookmarkStart w:id="259" w:name="_Toc387526404"/>
      <w:bookmarkStart w:id="260" w:name="_Toc397928580"/>
      <w:bookmarkStart w:id="261" w:name="_Toc11103"/>
      <w:bookmarkStart w:id="262" w:name="_Toc511142469"/>
      <w:bookmarkStart w:id="263" w:name="_Toc387526208"/>
      <w:bookmarkStart w:id="264" w:name="_Toc387526312"/>
      <w:r>
        <w:rPr>
          <w:rFonts w:hint="eastAsia" w:ascii="宋体" w:hAnsi="宋体" w:eastAsia="宋体" w:cs="宋体"/>
          <w:color w:val="auto"/>
          <w:szCs w:val="24"/>
        </w:rPr>
        <w:t>5.2 开标程序</w:t>
      </w:r>
      <w:bookmarkEnd w:id="259"/>
      <w:bookmarkEnd w:id="260"/>
      <w:bookmarkEnd w:id="261"/>
      <w:bookmarkEnd w:id="262"/>
      <w:bookmarkEnd w:id="263"/>
      <w:bookmarkEnd w:id="264"/>
    </w:p>
    <w:p>
      <w:pPr>
        <w:spacing w:line="360" w:lineRule="auto"/>
        <w:ind w:firstLine="420"/>
        <w:rPr>
          <w:rFonts w:ascii="宋体" w:hAnsi="宋体" w:cs="宋体"/>
          <w:color w:val="auto"/>
          <w:sz w:val="24"/>
          <w:highlight w:val="white"/>
        </w:rPr>
      </w:pPr>
      <w:bookmarkStart w:id="265" w:name="_Toc367894803"/>
      <w:bookmarkStart w:id="266" w:name="_Toc368759380"/>
      <w:bookmarkStart w:id="267" w:name="_Toc363329375"/>
      <w:bookmarkStart w:id="268" w:name="_Toc368760432"/>
      <w:bookmarkStart w:id="269" w:name="_Toc184635076"/>
      <w:bookmarkStart w:id="270" w:name="_Toc369077566"/>
      <w:r>
        <w:rPr>
          <w:rFonts w:hint="eastAsia" w:ascii="宋体" w:hAnsi="宋体" w:cs="宋体"/>
          <w:color w:val="auto"/>
          <w:sz w:val="24"/>
          <w:highlight w:val="white"/>
        </w:rPr>
        <w:t>5.2.1 主持人按下列程序进行开标：</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（1）宣布开标纪律；</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（2）公布在投标截止时间前递交投标文件的投标人名称；</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（3）宣布相关参会人员姓名；</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（4）检查投标文件的密封情况；</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（5）当众开标、唱标，并记录在案；</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（6）相关参会人员在开标记录上签字确认；</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（7）开标结束。</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5.2.2投标人对开标有异议的，应当在开标现场提出，招标人应当当场作出答复，并作好记录。</w:t>
      </w:r>
    </w:p>
    <w:p>
      <w:pPr>
        <w:pStyle w:val="124"/>
        <w:spacing w:line="240" w:lineRule="auto"/>
        <w:rPr>
          <w:rFonts w:ascii="宋体" w:hAnsi="宋体"/>
          <w:color w:val="auto"/>
        </w:rPr>
      </w:pPr>
      <w:bookmarkStart w:id="271" w:name="_Toc511142470"/>
      <w:bookmarkStart w:id="272" w:name="_Toc397928581"/>
      <w:bookmarkStart w:id="273" w:name="_Toc387526313"/>
      <w:bookmarkStart w:id="274" w:name="_Toc387526209"/>
      <w:bookmarkStart w:id="275" w:name="_Toc22517"/>
      <w:bookmarkStart w:id="276" w:name="_Toc387526405"/>
      <w:r>
        <w:rPr>
          <w:rFonts w:hint="eastAsia" w:ascii="宋体" w:hAnsi="宋体"/>
          <w:color w:val="auto"/>
        </w:rPr>
        <w:t>6. 评标</w:t>
      </w:r>
      <w:bookmarkEnd w:id="265"/>
      <w:bookmarkEnd w:id="266"/>
      <w:bookmarkEnd w:id="267"/>
      <w:bookmarkEnd w:id="268"/>
      <w:bookmarkEnd w:id="269"/>
      <w:bookmarkEnd w:id="270"/>
      <w:bookmarkEnd w:id="271"/>
      <w:bookmarkEnd w:id="272"/>
      <w:bookmarkEnd w:id="273"/>
      <w:bookmarkEnd w:id="274"/>
      <w:bookmarkEnd w:id="275"/>
      <w:bookmarkEnd w:id="276"/>
    </w:p>
    <w:p>
      <w:pPr>
        <w:pStyle w:val="5"/>
        <w:spacing w:line="360" w:lineRule="auto"/>
        <w:ind w:firstLine="118"/>
        <w:rPr>
          <w:rFonts w:ascii="宋体" w:hAnsi="宋体" w:eastAsia="宋体" w:cs="宋体"/>
          <w:color w:val="auto"/>
          <w:szCs w:val="24"/>
        </w:rPr>
      </w:pPr>
      <w:bookmarkStart w:id="277" w:name="_Toc387526210"/>
      <w:bookmarkStart w:id="278" w:name="_Toc511142471"/>
      <w:bookmarkStart w:id="279" w:name="_Toc9909"/>
      <w:bookmarkStart w:id="280" w:name="_Toc387526406"/>
      <w:bookmarkStart w:id="281" w:name="_Toc387526314"/>
      <w:bookmarkStart w:id="282" w:name="_Toc397928582"/>
      <w:r>
        <w:rPr>
          <w:rFonts w:hint="eastAsia" w:ascii="宋体" w:hAnsi="宋体" w:eastAsia="宋体" w:cs="宋体"/>
          <w:color w:val="auto"/>
          <w:szCs w:val="24"/>
        </w:rPr>
        <w:t>6.1 评标委员会</w:t>
      </w:r>
      <w:bookmarkEnd w:id="277"/>
      <w:bookmarkEnd w:id="278"/>
      <w:bookmarkEnd w:id="279"/>
      <w:bookmarkEnd w:id="280"/>
      <w:bookmarkEnd w:id="281"/>
      <w:bookmarkEnd w:id="282"/>
    </w:p>
    <w:p>
      <w:pPr>
        <w:spacing w:line="360" w:lineRule="auto"/>
        <w:ind w:firstLine="420"/>
        <w:rPr>
          <w:rFonts w:ascii="宋体" w:hAnsi="宋体" w:cs="宋体"/>
          <w:color w:val="auto"/>
          <w:sz w:val="24"/>
          <w:highlight w:val="white"/>
        </w:rPr>
      </w:pPr>
      <w:bookmarkStart w:id="283" w:name="_Toc339359778"/>
      <w:bookmarkStart w:id="284" w:name="_Toc324255922"/>
      <w:bookmarkStart w:id="285" w:name="_Toc269310951"/>
      <w:r>
        <w:rPr>
          <w:rFonts w:hint="eastAsia" w:ascii="宋体" w:hAnsi="宋体" w:cs="宋体"/>
          <w:color w:val="auto"/>
          <w:sz w:val="24"/>
          <w:highlight w:val="white"/>
        </w:rPr>
        <w:t>6.1.1 评标由招标人依法组建的评标委员会负责。评标委员会由招标人代表以及有关技术、经济等方面的专家组成。</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6.1.2 评标委员会成员有下列情形之一的，应当回避：</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（1）投标人或投标人主要负责人的近亲属；</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（2）项目主管部门或者行政监督部门的人员；</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（3）与投标人有经济利益关系；</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（4）曾因在招标、评标以及其他与招标投标有关活动中从事违法行为而受过行政处罚或刑事处罚的，且在处罚期内。</w:t>
      </w:r>
    </w:p>
    <w:p>
      <w:pPr>
        <w:pStyle w:val="5"/>
        <w:spacing w:line="360" w:lineRule="auto"/>
        <w:ind w:firstLine="118"/>
        <w:rPr>
          <w:rFonts w:ascii="宋体" w:hAnsi="宋体" w:eastAsia="宋体" w:cs="宋体"/>
          <w:color w:val="auto"/>
          <w:szCs w:val="24"/>
        </w:rPr>
      </w:pPr>
      <w:bookmarkStart w:id="286" w:name="_Toc397928583"/>
      <w:bookmarkStart w:id="287" w:name="_Toc387526315"/>
      <w:bookmarkStart w:id="288" w:name="_Toc387526407"/>
      <w:bookmarkStart w:id="289" w:name="_Toc387526211"/>
      <w:bookmarkStart w:id="290" w:name="_Toc511142472"/>
      <w:bookmarkStart w:id="291" w:name="_Toc12316"/>
      <w:r>
        <w:rPr>
          <w:rFonts w:hint="eastAsia" w:ascii="宋体" w:hAnsi="宋体" w:eastAsia="宋体" w:cs="宋体"/>
          <w:color w:val="auto"/>
          <w:szCs w:val="24"/>
        </w:rPr>
        <w:t>6.2</w:t>
      </w:r>
      <w:bookmarkEnd w:id="283"/>
      <w:bookmarkEnd w:id="284"/>
      <w:bookmarkEnd w:id="285"/>
      <w:r>
        <w:rPr>
          <w:rFonts w:hint="eastAsia" w:ascii="宋体" w:hAnsi="宋体" w:eastAsia="宋体" w:cs="宋体"/>
          <w:color w:val="auto"/>
          <w:szCs w:val="24"/>
        </w:rPr>
        <w:t xml:space="preserve"> 评标原则</w:t>
      </w:r>
      <w:bookmarkEnd w:id="286"/>
      <w:bookmarkEnd w:id="287"/>
      <w:bookmarkEnd w:id="288"/>
      <w:bookmarkEnd w:id="289"/>
      <w:bookmarkEnd w:id="290"/>
      <w:bookmarkEnd w:id="291"/>
    </w:p>
    <w:p>
      <w:pPr>
        <w:spacing w:line="360" w:lineRule="auto"/>
        <w:ind w:firstLine="480" w:firstLineChars="200"/>
        <w:rPr>
          <w:rFonts w:ascii="宋体" w:hAnsi="宋体" w:cs="宋体"/>
          <w:color w:val="auto"/>
          <w:sz w:val="24"/>
        </w:rPr>
      </w:pPr>
      <w:r>
        <w:rPr>
          <w:rFonts w:hint="eastAsia" w:ascii="宋体" w:hAnsi="宋体" w:cs="宋体"/>
          <w:color w:val="auto"/>
          <w:sz w:val="24"/>
        </w:rPr>
        <w:t>评标活动遵循公平、公正、科学和择优的原则。</w:t>
      </w:r>
    </w:p>
    <w:p>
      <w:pPr>
        <w:pStyle w:val="5"/>
        <w:spacing w:line="360" w:lineRule="auto"/>
        <w:ind w:firstLine="118"/>
        <w:rPr>
          <w:rFonts w:ascii="宋体" w:hAnsi="宋体" w:eastAsia="宋体" w:cs="宋体"/>
          <w:color w:val="auto"/>
          <w:szCs w:val="24"/>
        </w:rPr>
      </w:pPr>
      <w:bookmarkStart w:id="292" w:name="_Toc397928584"/>
      <w:bookmarkStart w:id="293" w:name="_Toc247085723"/>
      <w:bookmarkStart w:id="294" w:name="_Toc246996952"/>
      <w:bookmarkStart w:id="295" w:name="_Toc387526316"/>
      <w:bookmarkStart w:id="296" w:name="_Toc366679696"/>
      <w:bookmarkStart w:id="297" w:name="_Toc6500"/>
      <w:bookmarkStart w:id="298" w:name="_Toc511142473"/>
      <w:bookmarkStart w:id="299" w:name="_Toc387526408"/>
      <w:bookmarkStart w:id="300" w:name="_Toc144974533"/>
      <w:bookmarkStart w:id="301" w:name="_Toc152042341"/>
      <w:bookmarkStart w:id="302" w:name="_Toc179632583"/>
      <w:bookmarkStart w:id="303" w:name="_Toc387526212"/>
      <w:bookmarkStart w:id="304" w:name="_Toc152045565"/>
      <w:bookmarkStart w:id="305" w:name="_Toc246996209"/>
      <w:r>
        <w:rPr>
          <w:rFonts w:hint="eastAsia" w:ascii="宋体" w:hAnsi="宋体" w:eastAsia="宋体" w:cs="宋体"/>
          <w:color w:val="auto"/>
          <w:szCs w:val="24"/>
        </w:rPr>
        <w:t>6.3 评标</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spacing w:line="360" w:lineRule="auto"/>
        <w:ind w:firstLine="480" w:firstLineChars="200"/>
        <w:rPr>
          <w:rFonts w:ascii="宋体" w:hAnsi="宋体" w:cs="宋体"/>
          <w:color w:val="auto"/>
          <w:sz w:val="24"/>
        </w:rPr>
      </w:pPr>
      <w:r>
        <w:rPr>
          <w:rFonts w:hint="eastAsia" w:ascii="宋体" w:hAnsi="宋体" w:cs="宋体"/>
          <w:color w:val="auto"/>
          <w:sz w:val="24"/>
        </w:rPr>
        <w:t>评标委员会按照第三章“评标办法”规定的方法、评审因素、标准和程序对投标文件进行评审。第三章“评标办法”没有规定的方法、评审因素和标准，不作为评标依据。</w:t>
      </w:r>
    </w:p>
    <w:p>
      <w:pPr>
        <w:pStyle w:val="5"/>
        <w:spacing w:line="360" w:lineRule="auto"/>
        <w:ind w:firstLine="118"/>
        <w:rPr>
          <w:rFonts w:ascii="宋体" w:hAnsi="宋体" w:eastAsia="宋体" w:cs="宋体"/>
          <w:color w:val="auto"/>
          <w:szCs w:val="24"/>
        </w:rPr>
      </w:pPr>
      <w:bookmarkStart w:id="306" w:name="_Toc511142475"/>
      <w:r>
        <w:rPr>
          <w:rFonts w:hint="eastAsia" w:ascii="宋体" w:hAnsi="宋体" w:eastAsia="宋体" w:cs="宋体"/>
          <w:color w:val="auto"/>
          <w:szCs w:val="24"/>
        </w:rPr>
        <w:t>6.4无效标书条款</w:t>
      </w:r>
      <w:bookmarkEnd w:id="306"/>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投标文件有下列情况之一的，属于重大偏差，视为未能对招标文件作出实质性响应，应当作为无效投标予以否决：</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（1）投标文件中的投标函未加盖投标人的公章；</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（2）投标文件中的投标函无企业法定代表人（或企业法定代表人委托代理人）印章（或签字）的；</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（3）如投标函由企业法定代表人委托代理人加盖印章（或签字）的，企业法定代表人委托代理人没有合法、有效的委托书（原件）的；</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 xml:space="preserve">（4）投标人资格条件不符合国家有关规定或招标文件要求的； </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（5）投标文件技术规格中一般参数超出招标文件允许偏离的最大范围或最高项数的，或偏离招标文件规定的不允许偏离的技术参数的；</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 xml:space="preserve">（6）投标报价高于招标文件设定的最高投标限价的； </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（7）投标文件的组成不符合招标文件要求的；</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（8）投标人递交两份或多份内容不同的投标文件，或在一份投标文件中对同一招标服务报有两个或多个报价，且未声明哪一个为最终报价的；</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 xml:space="preserve">（9）与招标文件提供的服务清单中的清单数量或规格不相同的；  </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 xml:space="preserve">（10）投标文件载明的招标项目完成期限超过招标文件规定的期限的，或服务期达不到招标文件规定期限的要求； </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 xml:space="preserve">（11）明显不符合技术规范、技术标准的要求的； </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 xml:space="preserve">（12）投标文件载明的包装方式、检验标准和方法等不符合招标文件的要求的； </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（13）投标文件提出的工程验收、计量、价款结算和付款方式不能满足招标文件要求或招标人不能接受；</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 xml:space="preserve">（14）不同投标人的投标文件出现了评标委员会认为不应当雷同的情况的； </w:t>
      </w:r>
    </w:p>
    <w:p>
      <w:pPr>
        <w:shd w:val="clear" w:color="auto" w:fill="FFFFFF"/>
        <w:spacing w:line="360" w:lineRule="auto"/>
        <w:ind w:firstLine="480" w:firstLineChars="200"/>
        <w:rPr>
          <w:rFonts w:ascii="宋体" w:hAnsi="宋体" w:cs="宋体"/>
          <w:color w:val="auto"/>
          <w:sz w:val="24"/>
        </w:rPr>
      </w:pPr>
      <w:r>
        <w:rPr>
          <w:rFonts w:hint="eastAsia" w:ascii="宋体" w:hAnsi="宋体" w:cs="宋体"/>
          <w:color w:val="auto"/>
          <w:sz w:val="24"/>
        </w:rPr>
        <w:t>（15）以他人的名义投标、串通投标、以行贿手段谋取中标或者以其他弄虚作假方式投标的；</w:t>
      </w:r>
    </w:p>
    <w:p>
      <w:pPr>
        <w:spacing w:before="100" w:beforeAutospacing="1" w:after="100" w:afterAutospacing="1" w:line="360" w:lineRule="auto"/>
        <w:rPr>
          <w:rFonts w:ascii="宋体" w:hAnsi="宋体" w:cs="宋体"/>
          <w:color w:val="auto"/>
          <w:sz w:val="24"/>
        </w:rPr>
      </w:pPr>
      <w:r>
        <w:rPr>
          <w:rFonts w:hint="eastAsia" w:ascii="宋体" w:hAnsi="宋体" w:cs="宋体"/>
          <w:color w:val="auto"/>
          <w:sz w:val="24"/>
        </w:rPr>
        <w:t xml:space="preserve">    除上述条件外，招标人一般不得另行规定无效标条件。特殊情况招标人需要另行规定无效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pPr>
        <w:pStyle w:val="5"/>
        <w:spacing w:line="360" w:lineRule="auto"/>
        <w:ind w:firstLine="118"/>
        <w:rPr>
          <w:rFonts w:ascii="宋体" w:hAnsi="宋体" w:eastAsia="宋体" w:cs="宋体"/>
          <w:color w:val="auto"/>
          <w:szCs w:val="24"/>
        </w:rPr>
      </w:pPr>
      <w:bookmarkStart w:id="307" w:name="_Toc511142476"/>
      <w:r>
        <w:rPr>
          <w:rFonts w:hint="eastAsia" w:ascii="宋体" w:hAnsi="宋体" w:eastAsia="宋体" w:cs="宋体"/>
          <w:color w:val="auto"/>
          <w:szCs w:val="24"/>
        </w:rPr>
        <w:t>6.5重新招标</w:t>
      </w:r>
      <w:bookmarkEnd w:id="307"/>
    </w:p>
    <w:p>
      <w:pPr>
        <w:spacing w:line="360" w:lineRule="auto"/>
        <w:ind w:firstLine="480" w:firstLineChars="200"/>
        <w:rPr>
          <w:rFonts w:ascii="宋体" w:hAnsi="宋体" w:cs="宋体"/>
          <w:color w:val="auto"/>
          <w:sz w:val="24"/>
        </w:rPr>
      </w:pPr>
      <w:r>
        <w:rPr>
          <w:rFonts w:hint="eastAsia" w:ascii="宋体" w:hAnsi="宋体" w:cs="宋体"/>
          <w:color w:val="auto"/>
          <w:sz w:val="24"/>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spacing w:line="360" w:lineRule="auto"/>
        <w:ind w:firstLine="480" w:firstLineChars="200"/>
        <w:rPr>
          <w:rFonts w:ascii="宋体" w:hAnsi="宋体" w:cs="宋体"/>
          <w:color w:val="auto"/>
          <w:sz w:val="24"/>
        </w:rPr>
      </w:pPr>
      <w:r>
        <w:rPr>
          <w:rFonts w:hint="eastAsia" w:ascii="宋体" w:hAnsi="宋体" w:cs="宋体"/>
          <w:color w:val="auto"/>
          <w:sz w:val="24"/>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p>
    <w:p>
      <w:pPr>
        <w:pStyle w:val="124"/>
        <w:spacing w:line="240" w:lineRule="auto"/>
        <w:rPr>
          <w:rFonts w:ascii="宋体" w:hAnsi="宋体"/>
          <w:color w:val="auto"/>
          <w:sz w:val="21"/>
          <w:szCs w:val="21"/>
        </w:rPr>
      </w:pPr>
      <w:bookmarkStart w:id="308" w:name="_Toc387526213"/>
      <w:bookmarkStart w:id="309" w:name="_Toc387526317"/>
      <w:bookmarkStart w:id="310" w:name="_Toc397928586"/>
      <w:bookmarkStart w:id="311" w:name="_Toc22985"/>
      <w:bookmarkStart w:id="312" w:name="_Toc511142477"/>
      <w:bookmarkStart w:id="313" w:name="_Toc387526409"/>
      <w:bookmarkStart w:id="314" w:name="_Toc368760433"/>
      <w:bookmarkStart w:id="315" w:name="_Toc369077567"/>
      <w:r>
        <w:rPr>
          <w:rFonts w:hint="eastAsia" w:ascii="宋体" w:hAnsi="宋体"/>
          <w:color w:val="auto"/>
        </w:rPr>
        <w:t>7. 中标结果公</w:t>
      </w:r>
      <w:bookmarkEnd w:id="308"/>
      <w:bookmarkEnd w:id="309"/>
      <w:bookmarkEnd w:id="310"/>
      <w:bookmarkEnd w:id="311"/>
      <w:bookmarkEnd w:id="312"/>
      <w:bookmarkEnd w:id="313"/>
      <w:r>
        <w:rPr>
          <w:rFonts w:hint="eastAsia" w:ascii="宋体" w:hAnsi="宋体"/>
          <w:color w:val="auto"/>
        </w:rPr>
        <w:t>告</w:t>
      </w:r>
    </w:p>
    <w:p>
      <w:pPr>
        <w:spacing w:line="360" w:lineRule="auto"/>
        <w:ind w:firstLine="480" w:firstLineChars="200"/>
        <w:rPr>
          <w:rFonts w:ascii="宋体" w:hAnsi="宋体" w:cs="宋体"/>
          <w:color w:val="auto"/>
          <w:szCs w:val="21"/>
        </w:rPr>
      </w:pPr>
      <w:bookmarkStart w:id="316" w:name="_Toc397928587"/>
      <w:bookmarkStart w:id="317" w:name="_Toc387526318"/>
      <w:bookmarkStart w:id="318" w:name="_Toc387526214"/>
      <w:bookmarkStart w:id="319" w:name="_Toc387526410"/>
      <w:bookmarkStart w:id="320" w:name="_Toc15824"/>
      <w:bookmarkStart w:id="321" w:name="_Toc511142478"/>
      <w:r>
        <w:rPr>
          <w:rFonts w:hint="eastAsia" w:ascii="宋体" w:hAnsi="宋体" w:cs="宋体"/>
          <w:color w:val="auto"/>
          <w:sz w:val="24"/>
        </w:rPr>
        <w:t>7.1 采购代理机构应当自评审结束之日起2个工作日内将评审报告送交采购人。采购人应当自由到评审报告之日起5个工作日内在评审报告推荐的中标或者成交候选人中按顺序确定中标或者成交供应商。</w:t>
      </w:r>
    </w:p>
    <w:p>
      <w:pPr>
        <w:pStyle w:val="124"/>
        <w:spacing w:line="240" w:lineRule="auto"/>
        <w:rPr>
          <w:rFonts w:ascii="宋体" w:hAnsi="宋体"/>
          <w:color w:val="auto"/>
          <w:sz w:val="21"/>
          <w:szCs w:val="21"/>
        </w:rPr>
      </w:pPr>
      <w:r>
        <w:rPr>
          <w:rFonts w:hint="eastAsia" w:ascii="宋体" w:hAnsi="宋体"/>
          <w:color w:val="auto"/>
        </w:rPr>
        <w:t>8. 合同授予</w:t>
      </w:r>
      <w:bookmarkEnd w:id="244"/>
      <w:bookmarkEnd w:id="245"/>
      <w:bookmarkEnd w:id="246"/>
      <w:bookmarkEnd w:id="247"/>
      <w:bookmarkEnd w:id="248"/>
      <w:bookmarkEnd w:id="249"/>
      <w:bookmarkEnd w:id="250"/>
      <w:bookmarkEnd w:id="251"/>
      <w:bookmarkEnd w:id="252"/>
      <w:bookmarkEnd w:id="314"/>
      <w:bookmarkEnd w:id="315"/>
      <w:bookmarkEnd w:id="316"/>
      <w:bookmarkEnd w:id="317"/>
      <w:bookmarkEnd w:id="318"/>
      <w:bookmarkEnd w:id="319"/>
      <w:bookmarkEnd w:id="320"/>
      <w:bookmarkEnd w:id="321"/>
    </w:p>
    <w:p>
      <w:pPr>
        <w:pStyle w:val="5"/>
        <w:spacing w:before="0" w:after="0" w:line="360" w:lineRule="auto"/>
        <w:ind w:firstLine="118"/>
        <w:rPr>
          <w:rFonts w:ascii="宋体" w:hAnsi="宋体" w:eastAsia="宋体" w:cs="宋体"/>
          <w:color w:val="auto"/>
          <w:szCs w:val="24"/>
        </w:rPr>
      </w:pPr>
      <w:bookmarkStart w:id="322" w:name="_Toc387526411"/>
      <w:bookmarkStart w:id="323" w:name="_Toc152045567"/>
      <w:bookmarkStart w:id="324" w:name="_Toc387526319"/>
      <w:bookmarkStart w:id="325" w:name="_Toc246996954"/>
      <w:bookmarkStart w:id="326" w:name="_Toc246996211"/>
      <w:bookmarkStart w:id="327" w:name="_Toc5192"/>
      <w:bookmarkStart w:id="328" w:name="_Toc144974535"/>
      <w:bookmarkStart w:id="329" w:name="_Toc511142479"/>
      <w:bookmarkStart w:id="330" w:name="_Toc397928588"/>
      <w:bookmarkStart w:id="331" w:name="_Toc247085725"/>
      <w:bookmarkStart w:id="332" w:name="_Toc387526215"/>
      <w:bookmarkStart w:id="333" w:name="_Toc152042343"/>
      <w:bookmarkStart w:id="334" w:name="_Toc366679698"/>
      <w:bookmarkStart w:id="335" w:name="_Toc179632585"/>
      <w:r>
        <w:rPr>
          <w:rFonts w:hint="eastAsia" w:ascii="宋体" w:hAnsi="宋体" w:eastAsia="宋体" w:cs="宋体"/>
          <w:color w:val="auto"/>
          <w:szCs w:val="24"/>
        </w:rPr>
        <w:t>8.1 定标方式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360" w:lineRule="auto"/>
        <w:ind w:firstLine="480" w:firstLineChars="200"/>
        <w:rPr>
          <w:rFonts w:ascii="宋体" w:hAnsi="宋体" w:cs="宋体"/>
          <w:color w:val="auto"/>
          <w:sz w:val="24"/>
        </w:rPr>
      </w:pPr>
      <w:bookmarkStart w:id="336" w:name="_Toc387526412"/>
      <w:bookmarkStart w:id="337" w:name="_Toc387526216"/>
      <w:bookmarkStart w:id="338" w:name="_Toc29357"/>
      <w:bookmarkStart w:id="339" w:name="_Toc387526320"/>
      <w:r>
        <w:rPr>
          <w:rFonts w:hint="eastAsia" w:ascii="宋体" w:hAnsi="宋体" w:cs="宋体"/>
          <w:color w:val="auto"/>
          <w:sz w:val="24"/>
        </w:rPr>
        <w:t>除投标人须知前附表规定评标委员会直接确定中标人外：</w:t>
      </w:r>
    </w:p>
    <w:p>
      <w:pPr>
        <w:spacing w:line="360" w:lineRule="auto"/>
        <w:ind w:firstLine="480" w:firstLineChars="200"/>
        <w:rPr>
          <w:rFonts w:ascii="宋体" w:hAnsi="宋体" w:cs="宋体"/>
          <w:color w:val="auto"/>
          <w:sz w:val="24"/>
        </w:rPr>
      </w:pPr>
      <w:r>
        <w:rPr>
          <w:rFonts w:hint="eastAsia" w:ascii="宋体" w:hAnsi="宋体" w:cs="宋体"/>
          <w:color w:val="auto"/>
          <w:sz w:val="24"/>
        </w:rPr>
        <w:t>国有资金占控股或者主导地位的依法必须进行招标的项目，招标人应当确定排名第一的中标候选人为中标人。中标或者成交供应商拒绝与采购人签订合同的，采购人可以按照评审报告推荐的中标或者成交候选人名单排序，确定下一候选人为中标或者成交供应商，也可以重新开展政府采购活动。</w:t>
      </w:r>
    </w:p>
    <w:p>
      <w:pPr>
        <w:pStyle w:val="5"/>
        <w:spacing w:before="0" w:after="0" w:line="360" w:lineRule="auto"/>
        <w:ind w:firstLine="118"/>
        <w:rPr>
          <w:rFonts w:ascii="宋体" w:hAnsi="宋体" w:eastAsia="宋体" w:cs="宋体"/>
          <w:color w:val="auto"/>
          <w:szCs w:val="24"/>
        </w:rPr>
      </w:pPr>
      <w:bookmarkStart w:id="340" w:name="_Toc397928589"/>
      <w:bookmarkStart w:id="341" w:name="_Toc511142480"/>
      <w:r>
        <w:rPr>
          <w:rFonts w:hint="eastAsia" w:ascii="宋体" w:hAnsi="宋体" w:eastAsia="宋体" w:cs="宋体"/>
          <w:color w:val="auto"/>
          <w:szCs w:val="24"/>
        </w:rPr>
        <w:t>8.2</w:t>
      </w:r>
      <w:bookmarkEnd w:id="336"/>
      <w:bookmarkEnd w:id="337"/>
      <w:bookmarkEnd w:id="338"/>
      <w:bookmarkEnd w:id="339"/>
      <w:bookmarkStart w:id="342" w:name="_Toc247085726"/>
      <w:bookmarkStart w:id="343" w:name="_Toc246996212"/>
      <w:bookmarkStart w:id="344" w:name="_Toc387526217"/>
      <w:bookmarkStart w:id="345" w:name="_Toc13765"/>
      <w:bookmarkStart w:id="346" w:name="_Toc366679700"/>
      <w:bookmarkStart w:id="347" w:name="_Toc246996955"/>
      <w:bookmarkStart w:id="348" w:name="_Toc387526321"/>
      <w:bookmarkStart w:id="349" w:name="_Toc179632586"/>
      <w:bookmarkStart w:id="350" w:name="_Toc387526413"/>
      <w:r>
        <w:rPr>
          <w:rFonts w:hint="eastAsia" w:ascii="宋体" w:hAnsi="宋体" w:eastAsia="宋体" w:cs="宋体"/>
          <w:color w:val="auto"/>
          <w:szCs w:val="24"/>
        </w:rPr>
        <w:t>中标通知</w:t>
      </w:r>
      <w:bookmarkEnd w:id="340"/>
      <w:bookmarkEnd w:id="341"/>
      <w:bookmarkEnd w:id="342"/>
      <w:bookmarkEnd w:id="343"/>
      <w:bookmarkEnd w:id="344"/>
      <w:bookmarkEnd w:id="345"/>
      <w:bookmarkEnd w:id="346"/>
      <w:bookmarkEnd w:id="347"/>
      <w:bookmarkEnd w:id="348"/>
      <w:bookmarkEnd w:id="349"/>
      <w:bookmarkEnd w:id="350"/>
    </w:p>
    <w:p>
      <w:pPr>
        <w:widowControl/>
        <w:shd w:val="clear" w:color="auto" w:fill="FFFFFF"/>
        <w:spacing w:after="180" w:line="420" w:lineRule="atLeast"/>
        <w:ind w:firstLine="480" w:firstLineChars="200"/>
        <w:jc w:val="left"/>
        <w:rPr>
          <w:rFonts w:ascii="宋体" w:hAnsi="宋体" w:cs="宋体"/>
          <w:color w:val="auto"/>
          <w:sz w:val="24"/>
        </w:rPr>
      </w:pPr>
      <w:bookmarkStart w:id="351" w:name="_Toc366679701"/>
      <w:bookmarkStart w:id="352" w:name="_Toc246996213"/>
      <w:bookmarkStart w:id="353" w:name="_Toc246996956"/>
      <w:bookmarkStart w:id="354" w:name="_Toc247085727"/>
      <w:bookmarkStart w:id="355" w:name="_Toc179632587"/>
      <w:r>
        <w:rPr>
          <w:rFonts w:hint="eastAsia" w:ascii="宋体" w:hAnsi="宋体" w:cs="宋体"/>
          <w:color w:val="auto"/>
          <w:sz w:val="24"/>
        </w:rPr>
        <w:t>采购代理机构应当自评审结束之日起2个工作日内将评审报告送交采购人。采购人应当自收到评审报告之日起5个工作日内在评审报告推荐的中标或者成交候选人中按顺序确定中标或者成交供应商。</w:t>
      </w:r>
    </w:p>
    <w:p>
      <w:pPr>
        <w:widowControl/>
        <w:shd w:val="clear" w:color="auto" w:fill="FFFFFF"/>
        <w:spacing w:after="180" w:line="420" w:lineRule="atLeast"/>
        <w:ind w:firstLine="480" w:firstLineChars="200"/>
        <w:jc w:val="left"/>
        <w:rPr>
          <w:rFonts w:ascii="宋体" w:hAnsi="宋体" w:cs="宋体"/>
          <w:color w:val="auto"/>
          <w:sz w:val="24"/>
        </w:rPr>
      </w:pPr>
      <w:r>
        <w:rPr>
          <w:rFonts w:hint="eastAsia" w:ascii="宋体" w:hAnsi="宋体" w:cs="宋体"/>
          <w:color w:val="auto"/>
          <w:sz w:val="24"/>
        </w:rPr>
        <w:t>采购人或者采购代理机构应当自中标供应商确定之日起2个工作日内，发出中标通知书，并在省级以上人民政府财政部门指定的媒体上公告中标结果，招标文件、中标结果同时公告。</w:t>
      </w:r>
    </w:p>
    <w:p>
      <w:pPr>
        <w:pStyle w:val="5"/>
        <w:spacing w:before="0" w:after="0" w:line="360" w:lineRule="auto"/>
        <w:ind w:firstLine="118"/>
        <w:rPr>
          <w:rFonts w:ascii="宋体" w:hAnsi="宋体" w:eastAsia="宋体" w:cs="宋体"/>
          <w:color w:val="auto"/>
          <w:szCs w:val="24"/>
        </w:rPr>
      </w:pPr>
      <w:bookmarkStart w:id="356" w:name="_Toc397928590"/>
      <w:bookmarkStart w:id="357" w:name="_Toc387526322"/>
      <w:bookmarkStart w:id="358" w:name="_Toc511142481"/>
      <w:bookmarkStart w:id="359" w:name="_Toc26386"/>
      <w:bookmarkStart w:id="360" w:name="_Toc387526218"/>
      <w:bookmarkStart w:id="361" w:name="_Toc387526414"/>
      <w:r>
        <w:rPr>
          <w:rFonts w:hint="eastAsia" w:ascii="宋体" w:hAnsi="宋体" w:eastAsia="宋体" w:cs="宋体"/>
          <w:color w:val="auto"/>
          <w:szCs w:val="24"/>
        </w:rPr>
        <w:t>8.3 履约保证金</w:t>
      </w:r>
      <w:bookmarkEnd w:id="351"/>
      <w:bookmarkEnd w:id="352"/>
      <w:bookmarkEnd w:id="353"/>
      <w:bookmarkEnd w:id="354"/>
      <w:bookmarkEnd w:id="355"/>
      <w:bookmarkEnd w:id="356"/>
      <w:bookmarkEnd w:id="357"/>
      <w:bookmarkEnd w:id="358"/>
      <w:bookmarkEnd w:id="359"/>
      <w:bookmarkEnd w:id="360"/>
      <w:bookmarkEnd w:id="361"/>
    </w:p>
    <w:p>
      <w:pPr>
        <w:spacing w:line="360" w:lineRule="auto"/>
        <w:ind w:firstLine="480" w:firstLineChars="200"/>
        <w:rPr>
          <w:color w:val="auto"/>
          <w:sz w:val="24"/>
        </w:rPr>
      </w:pPr>
      <w:bookmarkStart w:id="362" w:name="_Toc511142482"/>
      <w:bookmarkStart w:id="363" w:name="_Toc366679702"/>
      <w:bookmarkStart w:id="364" w:name="_Toc247085728"/>
      <w:bookmarkStart w:id="365" w:name="_Toc246996214"/>
      <w:bookmarkStart w:id="366" w:name="_Toc246996957"/>
      <w:bookmarkStart w:id="367" w:name="_Toc179632588"/>
      <w:bookmarkStart w:id="368" w:name="_Toc397928591"/>
      <w:bookmarkStart w:id="369" w:name="_Toc387526219"/>
      <w:bookmarkStart w:id="370" w:name="_Toc387526415"/>
      <w:bookmarkStart w:id="371" w:name="_Toc387526323"/>
      <w:bookmarkStart w:id="372" w:name="_Toc10565"/>
      <w:r>
        <w:rPr>
          <w:rFonts w:hint="eastAsia"/>
          <w:color w:val="auto"/>
          <w:sz w:val="24"/>
        </w:rPr>
        <w:t>8</w:t>
      </w:r>
      <w:r>
        <w:rPr>
          <w:color w:val="auto"/>
          <w:sz w:val="24"/>
        </w:rPr>
        <w:t>.</w:t>
      </w:r>
      <w:r>
        <w:rPr>
          <w:rFonts w:hint="eastAsia"/>
          <w:color w:val="auto"/>
          <w:sz w:val="24"/>
        </w:rPr>
        <w:t>3</w:t>
      </w:r>
      <w:r>
        <w:rPr>
          <w:color w:val="auto"/>
          <w:sz w:val="24"/>
        </w:rPr>
        <w:t>.1在签订合同前，中标人应按投标人须知前附表规定的形式和招标文件“合同条款及格式”规定的或者事先经过招标人书面认可的履约保证金格式向招标人提交履约保证金。</w:t>
      </w:r>
    </w:p>
    <w:p>
      <w:pPr>
        <w:pStyle w:val="2"/>
        <w:spacing w:line="360" w:lineRule="auto"/>
        <w:ind w:firstLine="480" w:firstLineChars="200"/>
        <w:rPr>
          <w:color w:val="auto"/>
          <w:sz w:val="24"/>
        </w:rPr>
      </w:pPr>
      <w:r>
        <w:rPr>
          <w:rFonts w:hint="eastAsia"/>
          <w:color w:val="auto"/>
          <w:sz w:val="24"/>
        </w:rPr>
        <w:t>本项目招标人要求投标人在</w:t>
      </w:r>
      <w:r>
        <w:rPr>
          <w:rFonts w:hint="eastAsia" w:asciiTheme="minorEastAsia" w:hAnsiTheme="minorEastAsia" w:eastAsiaTheme="minorEastAsia"/>
          <w:color w:val="auto"/>
          <w:sz w:val="24"/>
        </w:rPr>
        <w:t>合同签订后3个工作日内向招标人提交履约保证金，</w:t>
      </w:r>
      <w:r>
        <w:rPr>
          <w:color w:val="auto"/>
          <w:sz w:val="24"/>
        </w:rPr>
        <w:t>按投标人须知前附表规定的形式和招标文件“合同条款及格式”规定</w:t>
      </w:r>
      <w:r>
        <w:rPr>
          <w:rFonts w:hint="eastAsia"/>
          <w:color w:val="auto"/>
          <w:sz w:val="24"/>
        </w:rPr>
        <w:t>向招标人提交履约保证金，投标人未能在规定期限内提交履约保证金的，招标人可以另行选择中标单位。采购人应当对提供＂信用中国(江苏盐城)＂备案的第三方信用报告AA评级及以上政府采购供应商，免收履约保证金或降低履约保证金缴纳比例。</w:t>
      </w:r>
    </w:p>
    <w:p>
      <w:pPr>
        <w:spacing w:line="360" w:lineRule="auto"/>
        <w:ind w:firstLine="480" w:firstLineChars="200"/>
        <w:rPr>
          <w:color w:val="auto"/>
          <w:sz w:val="24"/>
        </w:rPr>
      </w:pPr>
      <w:r>
        <w:rPr>
          <w:rFonts w:hint="eastAsia"/>
          <w:color w:val="auto"/>
          <w:sz w:val="24"/>
        </w:rPr>
        <w:t>8</w:t>
      </w:r>
      <w:r>
        <w:rPr>
          <w:color w:val="auto"/>
          <w:sz w:val="24"/>
        </w:rPr>
        <w:t>.</w:t>
      </w:r>
      <w:r>
        <w:rPr>
          <w:rFonts w:hint="eastAsia"/>
          <w:color w:val="auto"/>
          <w:sz w:val="24"/>
        </w:rPr>
        <w:t>3</w:t>
      </w:r>
      <w:r>
        <w:rPr>
          <w:color w:val="auto"/>
          <w:sz w:val="24"/>
        </w:rPr>
        <w:t>.2中标人不能按本章第</w:t>
      </w:r>
      <w:r>
        <w:rPr>
          <w:rFonts w:hint="eastAsia"/>
          <w:color w:val="auto"/>
          <w:sz w:val="24"/>
        </w:rPr>
        <w:t>8</w:t>
      </w:r>
      <w:r>
        <w:rPr>
          <w:color w:val="auto"/>
          <w:sz w:val="24"/>
        </w:rPr>
        <w:t>.</w:t>
      </w:r>
      <w:r>
        <w:rPr>
          <w:rFonts w:hint="eastAsia"/>
          <w:color w:val="auto"/>
          <w:sz w:val="24"/>
        </w:rPr>
        <w:t>3</w:t>
      </w:r>
      <w:r>
        <w:rPr>
          <w:color w:val="auto"/>
          <w:sz w:val="24"/>
        </w:rPr>
        <w:t>项要求提交履约保证金的，视为放弃中标，给招标人造成的损失，中标人应当予以赔偿。</w:t>
      </w:r>
    </w:p>
    <w:p>
      <w:pPr>
        <w:pStyle w:val="5"/>
        <w:spacing w:before="0" w:after="0" w:line="360" w:lineRule="auto"/>
        <w:ind w:firstLine="118"/>
        <w:rPr>
          <w:rFonts w:ascii="宋体" w:hAnsi="宋体" w:eastAsia="宋体" w:cs="宋体"/>
          <w:color w:val="auto"/>
          <w:szCs w:val="24"/>
        </w:rPr>
      </w:pPr>
      <w:r>
        <w:rPr>
          <w:rFonts w:hint="eastAsia" w:ascii="宋体" w:hAnsi="宋体" w:eastAsia="宋体" w:cs="宋体"/>
          <w:color w:val="auto"/>
          <w:szCs w:val="24"/>
        </w:rPr>
        <w:t>8.4 签订合同</w:t>
      </w:r>
      <w:bookmarkEnd w:id="362"/>
      <w:bookmarkEnd w:id="363"/>
      <w:bookmarkEnd w:id="364"/>
      <w:bookmarkEnd w:id="365"/>
      <w:bookmarkEnd w:id="366"/>
      <w:bookmarkEnd w:id="367"/>
      <w:bookmarkEnd w:id="368"/>
      <w:bookmarkEnd w:id="369"/>
      <w:bookmarkEnd w:id="370"/>
      <w:bookmarkEnd w:id="371"/>
      <w:bookmarkEnd w:id="372"/>
    </w:p>
    <w:p>
      <w:pPr>
        <w:spacing w:line="360" w:lineRule="auto"/>
        <w:ind w:firstLine="480" w:firstLineChars="200"/>
        <w:rPr>
          <w:rFonts w:ascii="宋体" w:hAnsi="宋体" w:cs="宋体"/>
          <w:color w:val="auto"/>
          <w:sz w:val="24"/>
        </w:rPr>
      </w:pPr>
      <w:r>
        <w:rPr>
          <w:rFonts w:hint="eastAsia" w:ascii="宋体" w:hAnsi="宋体" w:cs="宋体"/>
          <w:color w:val="auto"/>
          <w:sz w:val="24"/>
        </w:rPr>
        <w:t>8.4.1招标人和中标人应当自中标通知书发出之日起15天内，根据招标文件和中标人的投标文件订立书面合同。中标人无正当理由拒签合同的，招标人取消其中标资格，给招标人造成的损失的，中标人还应当予以赔偿。</w:t>
      </w:r>
    </w:p>
    <w:p>
      <w:pPr>
        <w:spacing w:line="360" w:lineRule="auto"/>
        <w:ind w:firstLine="480" w:firstLineChars="200"/>
        <w:rPr>
          <w:rFonts w:ascii="宋体" w:hAnsi="宋体" w:cs="宋体"/>
          <w:color w:val="auto"/>
          <w:sz w:val="24"/>
        </w:rPr>
      </w:pPr>
      <w:r>
        <w:rPr>
          <w:rFonts w:hint="eastAsia" w:ascii="宋体" w:hAnsi="宋体" w:cs="宋体"/>
          <w:color w:val="auto"/>
          <w:sz w:val="24"/>
        </w:rPr>
        <w:t>8.4.2 发出中标通知书后，招标人无正当理由拒签合同的，给中标人造成损失的，还应当赔偿损失。</w:t>
      </w:r>
    </w:p>
    <w:bookmarkEnd w:id="211"/>
    <w:bookmarkEnd w:id="212"/>
    <w:bookmarkEnd w:id="213"/>
    <w:bookmarkEnd w:id="214"/>
    <w:p>
      <w:pPr>
        <w:pStyle w:val="124"/>
        <w:spacing w:line="240" w:lineRule="auto"/>
        <w:rPr>
          <w:rFonts w:ascii="宋体" w:hAnsi="宋体"/>
          <w:color w:val="auto"/>
          <w:sz w:val="21"/>
          <w:szCs w:val="21"/>
        </w:rPr>
      </w:pPr>
      <w:bookmarkStart w:id="373" w:name="_Toc387526416"/>
      <w:bookmarkStart w:id="374" w:name="_Toc387526324"/>
      <w:bookmarkStart w:id="375" w:name="_Toc511142483"/>
      <w:bookmarkStart w:id="376" w:name="_Toc397928592"/>
      <w:bookmarkStart w:id="377" w:name="_Toc368759383"/>
      <w:bookmarkStart w:id="378" w:name="_Toc367894807"/>
      <w:bookmarkStart w:id="379" w:name="_Toc322503149"/>
      <w:bookmarkStart w:id="380" w:name="_Toc368760435"/>
      <w:bookmarkStart w:id="381" w:name="_Toc30717"/>
      <w:bookmarkStart w:id="382" w:name="_Toc387526220"/>
      <w:bookmarkStart w:id="383" w:name="_Toc363329380"/>
      <w:bookmarkStart w:id="384" w:name="_Toc369077569"/>
      <w:r>
        <w:rPr>
          <w:rFonts w:hint="eastAsia" w:ascii="宋体" w:hAnsi="宋体"/>
          <w:color w:val="auto"/>
        </w:rPr>
        <w:t>9. 纪律和监督</w:t>
      </w:r>
      <w:bookmarkEnd w:id="373"/>
      <w:bookmarkEnd w:id="374"/>
      <w:bookmarkEnd w:id="375"/>
      <w:bookmarkEnd w:id="376"/>
      <w:bookmarkEnd w:id="377"/>
      <w:bookmarkEnd w:id="378"/>
      <w:bookmarkEnd w:id="379"/>
      <w:bookmarkEnd w:id="380"/>
      <w:bookmarkEnd w:id="381"/>
      <w:bookmarkEnd w:id="382"/>
      <w:bookmarkEnd w:id="383"/>
      <w:bookmarkEnd w:id="384"/>
    </w:p>
    <w:p>
      <w:pPr>
        <w:pStyle w:val="5"/>
        <w:spacing w:line="360" w:lineRule="auto"/>
        <w:ind w:firstLine="240" w:firstLineChars="100"/>
        <w:rPr>
          <w:rFonts w:ascii="宋体" w:hAnsi="宋体" w:eastAsia="宋体" w:cs="宋体"/>
          <w:color w:val="auto"/>
          <w:szCs w:val="24"/>
        </w:rPr>
      </w:pPr>
      <w:bookmarkStart w:id="385" w:name="_Toc387526221"/>
      <w:bookmarkStart w:id="386" w:name="_Toc387526417"/>
      <w:bookmarkStart w:id="387" w:name="_Toc387526325"/>
      <w:bookmarkStart w:id="388" w:name="_Toc152042351"/>
      <w:bookmarkStart w:id="389" w:name="_Toc511142484"/>
      <w:bookmarkStart w:id="390" w:name="_Toc29855"/>
      <w:bookmarkStart w:id="391" w:name="_Toc269310963"/>
      <w:bookmarkStart w:id="392" w:name="_Toc397928593"/>
      <w:bookmarkStart w:id="393" w:name="_Toc322503150"/>
      <w:bookmarkStart w:id="394" w:name="_Toc144974543"/>
      <w:bookmarkStart w:id="395" w:name="_Toc152045575"/>
      <w:r>
        <w:rPr>
          <w:rFonts w:hint="eastAsia" w:ascii="宋体" w:hAnsi="宋体" w:eastAsia="宋体" w:cs="宋体"/>
          <w:color w:val="auto"/>
          <w:szCs w:val="24"/>
        </w:rPr>
        <w:t>9.1 对招标人的纪律要求</w:t>
      </w:r>
      <w:bookmarkEnd w:id="385"/>
      <w:bookmarkEnd w:id="386"/>
      <w:bookmarkEnd w:id="387"/>
      <w:bookmarkEnd w:id="388"/>
      <w:bookmarkEnd w:id="389"/>
      <w:bookmarkEnd w:id="390"/>
      <w:bookmarkEnd w:id="391"/>
      <w:bookmarkEnd w:id="392"/>
      <w:bookmarkEnd w:id="393"/>
      <w:bookmarkEnd w:id="394"/>
      <w:bookmarkEnd w:id="395"/>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招标人不得泄露招标投标活动中应当保密的情况和资料，不得与投标人串通损害国家利益、社会公众利益或者他人合法权益。</w:t>
      </w:r>
    </w:p>
    <w:p>
      <w:pPr>
        <w:pStyle w:val="5"/>
        <w:spacing w:before="60" w:after="60" w:line="360" w:lineRule="auto"/>
        <w:ind w:firstLine="240" w:firstLineChars="100"/>
        <w:rPr>
          <w:rFonts w:ascii="宋体" w:hAnsi="宋体" w:eastAsia="宋体" w:cs="宋体"/>
          <w:color w:val="auto"/>
          <w:szCs w:val="24"/>
          <w:highlight w:val="white"/>
        </w:rPr>
      </w:pPr>
      <w:bookmarkStart w:id="396" w:name="_Toc144974544"/>
      <w:bookmarkStart w:id="397" w:name="_Toc397928594"/>
      <w:bookmarkStart w:id="398" w:name="_Toc1420"/>
      <w:bookmarkStart w:id="399" w:name="_Toc511142485"/>
      <w:bookmarkStart w:id="400" w:name="_Toc322503151"/>
      <w:bookmarkStart w:id="401" w:name="_Toc387526222"/>
      <w:bookmarkStart w:id="402" w:name="_Toc152042352"/>
      <w:bookmarkStart w:id="403" w:name="_Toc269310964"/>
      <w:bookmarkStart w:id="404" w:name="_Toc387526418"/>
      <w:bookmarkStart w:id="405" w:name="_Toc387526326"/>
      <w:bookmarkStart w:id="406" w:name="_Toc152045576"/>
      <w:r>
        <w:rPr>
          <w:rFonts w:hint="eastAsia" w:ascii="宋体" w:hAnsi="宋体" w:eastAsia="宋体" w:cs="宋体"/>
          <w:color w:val="auto"/>
          <w:szCs w:val="24"/>
          <w:highlight w:val="white"/>
        </w:rPr>
        <w:t>9.2 对投标人的纪律要求</w:t>
      </w:r>
      <w:bookmarkEnd w:id="396"/>
      <w:bookmarkEnd w:id="397"/>
      <w:bookmarkEnd w:id="398"/>
      <w:bookmarkEnd w:id="399"/>
      <w:bookmarkEnd w:id="400"/>
      <w:bookmarkEnd w:id="401"/>
      <w:bookmarkEnd w:id="402"/>
      <w:bookmarkEnd w:id="403"/>
      <w:bookmarkEnd w:id="404"/>
      <w:bookmarkEnd w:id="405"/>
      <w:bookmarkEnd w:id="406"/>
    </w:p>
    <w:p>
      <w:pPr>
        <w:spacing w:line="360" w:lineRule="auto"/>
        <w:ind w:firstLine="420"/>
        <w:rPr>
          <w:rFonts w:ascii="宋体" w:hAnsi="宋体" w:cs="宋体"/>
          <w:color w:val="auto"/>
          <w:sz w:val="24"/>
          <w:highlight w:val="white"/>
        </w:rPr>
      </w:pPr>
      <w:bookmarkStart w:id="407" w:name="_Toc152045577"/>
      <w:bookmarkStart w:id="408" w:name="_Toc322503152"/>
      <w:bookmarkStart w:id="409" w:name="_Toc144974545"/>
      <w:bookmarkStart w:id="410" w:name="_Toc152042353"/>
      <w:bookmarkStart w:id="411" w:name="_Toc269310965"/>
      <w:r>
        <w:rPr>
          <w:rFonts w:hint="eastAsia" w:ascii="宋体" w:hAnsi="宋体" w:cs="宋体"/>
          <w:color w:val="auto"/>
          <w:sz w:val="24"/>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60" w:after="60" w:line="360" w:lineRule="auto"/>
        <w:ind w:firstLine="240" w:firstLineChars="100"/>
        <w:rPr>
          <w:rFonts w:ascii="宋体" w:hAnsi="宋体" w:eastAsia="宋体" w:cs="宋体"/>
          <w:color w:val="auto"/>
          <w:szCs w:val="24"/>
          <w:highlight w:val="white"/>
        </w:rPr>
      </w:pPr>
      <w:bookmarkStart w:id="412" w:name="_Toc397928595"/>
      <w:bookmarkStart w:id="413" w:name="_Toc387526223"/>
      <w:bookmarkStart w:id="414" w:name="_Toc511142486"/>
      <w:bookmarkStart w:id="415" w:name="_Toc387526419"/>
      <w:bookmarkStart w:id="416" w:name="_Toc16374"/>
      <w:bookmarkStart w:id="417" w:name="_Toc387526327"/>
      <w:r>
        <w:rPr>
          <w:rFonts w:hint="eastAsia" w:ascii="宋体" w:hAnsi="宋体" w:eastAsia="宋体" w:cs="宋体"/>
          <w:color w:val="auto"/>
          <w:szCs w:val="24"/>
          <w:highlight w:val="white"/>
        </w:rPr>
        <w:t>9.3 对评标委员会成员的纪律要求</w:t>
      </w:r>
      <w:bookmarkEnd w:id="407"/>
      <w:bookmarkEnd w:id="408"/>
      <w:bookmarkEnd w:id="409"/>
      <w:bookmarkEnd w:id="410"/>
      <w:bookmarkEnd w:id="411"/>
      <w:bookmarkEnd w:id="412"/>
      <w:bookmarkEnd w:id="413"/>
      <w:bookmarkEnd w:id="414"/>
      <w:bookmarkEnd w:id="415"/>
      <w:bookmarkEnd w:id="416"/>
      <w:bookmarkEnd w:id="417"/>
    </w:p>
    <w:p>
      <w:pPr>
        <w:spacing w:line="360" w:lineRule="auto"/>
        <w:ind w:firstLine="420"/>
        <w:rPr>
          <w:rFonts w:ascii="宋体" w:hAnsi="宋体" w:cs="宋体"/>
          <w:color w:val="auto"/>
          <w:sz w:val="24"/>
          <w:highlight w:val="white"/>
        </w:rPr>
      </w:pPr>
      <w:bookmarkStart w:id="418" w:name="_Toc247085736"/>
      <w:bookmarkStart w:id="419" w:name="_Toc246996965"/>
      <w:bookmarkStart w:id="420" w:name="_Toc246996222"/>
      <w:bookmarkStart w:id="421" w:name="_Toc179632596"/>
      <w:bookmarkStart w:id="422" w:name="_Toc366679707"/>
      <w:bookmarkStart w:id="423" w:name="_Toc152045578"/>
      <w:bookmarkStart w:id="424" w:name="_Toc152042354"/>
      <w:bookmarkStart w:id="425" w:name="_Toc144974546"/>
      <w:r>
        <w:rPr>
          <w:rFonts w:hint="eastAsia" w:ascii="宋体" w:hAnsi="宋体" w:cs="宋体"/>
          <w:color w:val="auto"/>
          <w:sz w:val="24"/>
          <w:highlight w:val="whit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5"/>
        <w:spacing w:before="60" w:after="60" w:line="360" w:lineRule="auto"/>
        <w:ind w:firstLine="240" w:firstLineChars="100"/>
        <w:rPr>
          <w:rFonts w:ascii="宋体" w:hAnsi="宋体" w:eastAsia="宋体" w:cs="宋体"/>
          <w:color w:val="auto"/>
          <w:szCs w:val="24"/>
          <w:highlight w:val="white"/>
        </w:rPr>
      </w:pPr>
      <w:bookmarkStart w:id="426" w:name="_Toc1042"/>
      <w:bookmarkStart w:id="427" w:name="_Toc387526420"/>
      <w:bookmarkStart w:id="428" w:name="_Toc387526224"/>
      <w:bookmarkStart w:id="429" w:name="_Toc387526328"/>
      <w:bookmarkStart w:id="430" w:name="_Toc511142487"/>
      <w:bookmarkStart w:id="431" w:name="_Toc397928596"/>
      <w:r>
        <w:rPr>
          <w:rFonts w:hint="eastAsia" w:ascii="宋体" w:hAnsi="宋体" w:eastAsia="宋体" w:cs="宋体"/>
          <w:color w:val="auto"/>
          <w:szCs w:val="24"/>
          <w:highlight w:val="white"/>
        </w:rPr>
        <w:t>9.4 对与评标活动有关的工作人员的纪律要求</w:t>
      </w:r>
      <w:bookmarkEnd w:id="418"/>
      <w:bookmarkEnd w:id="419"/>
      <w:bookmarkEnd w:id="420"/>
      <w:bookmarkEnd w:id="421"/>
      <w:bookmarkEnd w:id="422"/>
      <w:bookmarkEnd w:id="423"/>
      <w:bookmarkEnd w:id="424"/>
      <w:bookmarkEnd w:id="426"/>
      <w:bookmarkEnd w:id="427"/>
      <w:bookmarkEnd w:id="428"/>
      <w:bookmarkEnd w:id="429"/>
      <w:bookmarkEnd w:id="430"/>
      <w:bookmarkEnd w:id="431"/>
    </w:p>
    <w:p>
      <w:pPr>
        <w:spacing w:line="360" w:lineRule="auto"/>
        <w:ind w:firstLine="420"/>
        <w:rPr>
          <w:rFonts w:ascii="宋体" w:hAnsi="宋体" w:cs="宋体"/>
          <w:color w:val="auto"/>
          <w:sz w:val="24"/>
          <w:highlight w:val="white"/>
        </w:rPr>
      </w:pPr>
      <w:bookmarkStart w:id="432" w:name="_Toc152042355"/>
      <w:bookmarkStart w:id="433" w:name="_Toc152042356"/>
      <w:bookmarkStart w:id="434" w:name="_Toc246996223"/>
      <w:bookmarkStart w:id="435" w:name="_Toc179632597"/>
      <w:bookmarkStart w:id="436" w:name="_Toc247085737"/>
      <w:bookmarkStart w:id="437" w:name="_Toc152045579"/>
      <w:bookmarkStart w:id="438" w:name="_Toc366679708"/>
      <w:bookmarkStart w:id="439" w:name="_Toc246996966"/>
      <w:r>
        <w:rPr>
          <w:rFonts w:hint="eastAsia" w:ascii="宋体" w:hAnsi="宋体" w:cs="宋体"/>
          <w:color w:val="auto"/>
          <w:sz w:val="24"/>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32"/>
    </w:p>
    <w:p>
      <w:pPr>
        <w:pStyle w:val="5"/>
        <w:spacing w:before="60" w:after="60" w:line="360" w:lineRule="auto"/>
        <w:ind w:firstLine="240" w:firstLineChars="100"/>
        <w:rPr>
          <w:rFonts w:ascii="宋体" w:hAnsi="宋体" w:eastAsia="宋体" w:cs="宋体"/>
          <w:color w:val="auto"/>
          <w:szCs w:val="24"/>
          <w:highlight w:val="white"/>
        </w:rPr>
      </w:pPr>
      <w:bookmarkStart w:id="440" w:name="_Toc387526421"/>
      <w:bookmarkStart w:id="441" w:name="_Toc27873"/>
      <w:bookmarkStart w:id="442" w:name="_Toc387526329"/>
      <w:bookmarkStart w:id="443" w:name="_Toc397928597"/>
      <w:bookmarkStart w:id="444" w:name="_Toc387526225"/>
      <w:bookmarkStart w:id="445" w:name="_Toc511142488"/>
      <w:r>
        <w:rPr>
          <w:rFonts w:hint="eastAsia" w:ascii="宋体" w:hAnsi="宋体" w:eastAsia="宋体" w:cs="宋体"/>
          <w:color w:val="auto"/>
          <w:szCs w:val="24"/>
          <w:highlight w:val="white"/>
        </w:rPr>
        <w:t>9.5 监督和质疑、投诉处理</w:t>
      </w:r>
      <w:bookmarkEnd w:id="425"/>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360" w:lineRule="auto"/>
        <w:ind w:firstLine="420"/>
        <w:rPr>
          <w:rFonts w:ascii="宋体" w:hAnsi="宋体" w:cs="宋体"/>
          <w:color w:val="auto"/>
          <w:sz w:val="24"/>
        </w:rPr>
      </w:pPr>
      <w:bookmarkStart w:id="446" w:name="_Toc9600"/>
      <w:bookmarkStart w:id="447" w:name="_Toc387526422"/>
      <w:bookmarkStart w:id="448" w:name="_Toc387526330"/>
      <w:bookmarkStart w:id="449" w:name="_Toc387526226"/>
      <w:r>
        <w:rPr>
          <w:rFonts w:hint="eastAsia" w:ascii="宋体" w:hAnsi="宋体" w:cs="宋体"/>
          <w:color w:val="auto"/>
          <w:sz w:val="24"/>
        </w:rPr>
        <w:t>1、本项目的招投标工作接受社会监督。</w:t>
      </w:r>
    </w:p>
    <w:p>
      <w:pPr>
        <w:spacing w:line="360" w:lineRule="auto"/>
        <w:ind w:firstLine="420"/>
        <w:rPr>
          <w:rFonts w:ascii="宋体" w:hAnsi="宋体" w:cs="宋体"/>
          <w:color w:val="auto"/>
          <w:sz w:val="24"/>
          <w:highlight w:val="white"/>
        </w:rPr>
      </w:pPr>
      <w:r>
        <w:rPr>
          <w:rFonts w:hint="eastAsia" w:ascii="宋体" w:hAnsi="宋体" w:cs="宋体"/>
          <w:color w:val="auto"/>
          <w:sz w:val="24"/>
        </w:rPr>
        <w:t>2、投标人和其他利害关系人如认为本次招标投标活动不符合法律、法规和规章规定的，依法先向招</w:t>
      </w:r>
      <w:r>
        <w:rPr>
          <w:rFonts w:hint="eastAsia" w:ascii="宋体" w:hAnsi="宋体" w:cs="宋体"/>
          <w:color w:val="auto"/>
          <w:sz w:val="24"/>
          <w:highlight w:val="white"/>
        </w:rPr>
        <w:t>标人提出质疑。任何以口头形式提出的询问、质疑、投诉等，都不予答复。</w:t>
      </w:r>
    </w:p>
    <w:p>
      <w:pPr>
        <w:spacing w:line="360" w:lineRule="auto"/>
        <w:ind w:firstLine="420"/>
        <w:rPr>
          <w:rFonts w:ascii="宋体" w:hAnsi="宋体" w:cs="宋体"/>
          <w:color w:val="auto"/>
          <w:sz w:val="24"/>
          <w:highlight w:val="white"/>
        </w:rPr>
      </w:pPr>
      <w:r>
        <w:rPr>
          <w:rFonts w:hint="eastAsia" w:ascii="宋体" w:hAnsi="宋体" w:cs="宋体"/>
          <w:color w:val="auto"/>
          <w:sz w:val="24"/>
          <w:highlight w:val="white"/>
        </w:rPr>
        <w:t>投诉：投标人须向项目监管部门（大丰区财政局）提出投诉。</w:t>
      </w:r>
    </w:p>
    <w:p>
      <w:pPr>
        <w:spacing w:line="360" w:lineRule="auto"/>
        <w:ind w:firstLine="420"/>
        <w:rPr>
          <w:rFonts w:ascii="宋体" w:hAnsi="宋体" w:cs="宋体"/>
          <w:color w:val="auto"/>
          <w:sz w:val="24"/>
        </w:rPr>
      </w:pPr>
      <w:r>
        <w:rPr>
          <w:rFonts w:hint="eastAsia" w:ascii="宋体" w:hAnsi="宋体" w:cs="宋体"/>
          <w:color w:val="auto"/>
          <w:sz w:val="24"/>
          <w:highlight w:val="white"/>
        </w:rPr>
        <w:t>质疑：投标人对招标活动提出疑义，在开标前若质疑招标文件的相关条款</w:t>
      </w:r>
      <w:r>
        <w:rPr>
          <w:rFonts w:hint="eastAsia" w:ascii="宋体" w:hAnsi="宋体" w:cs="宋体"/>
          <w:color w:val="auto"/>
          <w:sz w:val="24"/>
        </w:rPr>
        <w:t>，不得超出质疑期，质疑期详见“投标人须知前附表”2.2.1项，若超出质疑期对招标文件提出疑义，招标采购单位、招标采购监管部门将不予受理；</w:t>
      </w:r>
    </w:p>
    <w:p>
      <w:pPr>
        <w:spacing w:line="360" w:lineRule="auto"/>
        <w:ind w:firstLine="420"/>
        <w:rPr>
          <w:rFonts w:ascii="宋体" w:hAnsi="宋体" w:cs="宋体"/>
          <w:color w:val="auto"/>
          <w:sz w:val="24"/>
        </w:rPr>
      </w:pPr>
      <w:r>
        <w:rPr>
          <w:rFonts w:hint="eastAsia" w:ascii="宋体" w:hAnsi="宋体" w:cs="宋体"/>
          <w:color w:val="auto"/>
          <w:sz w:val="24"/>
        </w:rPr>
        <w:t>在评标结束（中标结果公示后）质疑范围为除招标文件以外的招标活动，若在中标结果公示后，对招标文件提出质疑，招标采购单位、招标采购监管部门将不予受理；</w:t>
      </w:r>
    </w:p>
    <w:p>
      <w:pPr>
        <w:spacing w:line="360" w:lineRule="auto"/>
        <w:ind w:firstLine="420"/>
        <w:rPr>
          <w:rFonts w:ascii="宋体" w:hAnsi="宋体" w:cs="宋体"/>
          <w:b/>
          <w:color w:val="auto"/>
          <w:sz w:val="24"/>
        </w:rPr>
      </w:pPr>
      <w:r>
        <w:rPr>
          <w:rFonts w:hint="eastAsia" w:ascii="宋体" w:hAnsi="宋体" w:cs="宋体"/>
          <w:b/>
          <w:color w:val="auto"/>
          <w:sz w:val="24"/>
        </w:rPr>
        <w:t>质疑供应商应在法定质疑期内一次性提出针对同一采购程序环节的质疑。</w:t>
      </w:r>
    </w:p>
    <w:p>
      <w:pPr>
        <w:spacing w:line="360" w:lineRule="auto"/>
        <w:ind w:firstLine="420"/>
        <w:rPr>
          <w:rFonts w:ascii="宋体" w:hAnsi="宋体" w:cs="宋体"/>
          <w:color w:val="auto"/>
          <w:sz w:val="24"/>
        </w:rPr>
      </w:pPr>
      <w:r>
        <w:rPr>
          <w:rFonts w:hint="eastAsia" w:ascii="宋体" w:hAnsi="宋体" w:cs="宋体"/>
          <w:color w:val="auto"/>
          <w:sz w:val="24"/>
        </w:rPr>
        <w:t>特别提示：质疑须先向采购单位（业主）提供质疑，若对采购单位（业主）的答复不满意，再进入投诉程序。</w:t>
      </w:r>
      <w:bookmarkStart w:id="450" w:name="_Toc511142489"/>
    </w:p>
    <w:p>
      <w:pPr>
        <w:pStyle w:val="5"/>
        <w:spacing w:before="60" w:after="60" w:line="360" w:lineRule="auto"/>
        <w:ind w:firstLine="240" w:firstLineChars="100"/>
        <w:rPr>
          <w:rFonts w:ascii="宋体" w:hAnsi="宋体" w:eastAsia="宋体" w:cs="宋体"/>
          <w:color w:val="auto"/>
          <w:szCs w:val="24"/>
          <w:highlight w:val="white"/>
        </w:rPr>
      </w:pPr>
      <w:r>
        <w:rPr>
          <w:rFonts w:hint="eastAsia" w:ascii="宋体" w:hAnsi="宋体" w:eastAsia="宋体" w:cs="宋体"/>
          <w:color w:val="auto"/>
          <w:szCs w:val="24"/>
          <w:highlight w:val="white"/>
        </w:rPr>
        <w:t>9.6差别待遇或者歧视待遇现象</w:t>
      </w:r>
      <w:bookmarkEnd w:id="450"/>
    </w:p>
    <w:p>
      <w:pPr>
        <w:spacing w:line="360" w:lineRule="auto"/>
        <w:ind w:firstLine="480" w:firstLineChars="200"/>
        <w:rPr>
          <w:rFonts w:ascii="宋体" w:hAnsi="宋体" w:cs="宋体"/>
          <w:color w:val="auto"/>
          <w:sz w:val="24"/>
        </w:rPr>
      </w:pPr>
      <w:r>
        <w:rPr>
          <w:rFonts w:hint="eastAsia" w:ascii="宋体" w:hAnsi="宋体" w:cs="宋体"/>
          <w:color w:val="auto"/>
          <w:sz w:val="24"/>
        </w:rPr>
        <w:t>采购人或者采购代理机构有下列情形之一的，属于以不合理的条件对供应商实行差别待遇或者歧视待遇：</w:t>
      </w:r>
    </w:p>
    <w:p>
      <w:pPr>
        <w:spacing w:line="360" w:lineRule="auto"/>
        <w:rPr>
          <w:rFonts w:ascii="宋体" w:hAnsi="宋体" w:cs="宋体"/>
          <w:color w:val="auto"/>
          <w:sz w:val="24"/>
        </w:rPr>
      </w:pPr>
      <w:r>
        <w:rPr>
          <w:rFonts w:hint="eastAsia" w:ascii="宋体" w:hAnsi="宋体" w:cs="宋体"/>
          <w:color w:val="auto"/>
          <w:sz w:val="24"/>
        </w:rPr>
        <w:t>　　（一）就同一服务项目向供应商提供有差别的项目信息；</w:t>
      </w:r>
    </w:p>
    <w:p>
      <w:pPr>
        <w:spacing w:line="360" w:lineRule="auto"/>
        <w:rPr>
          <w:rFonts w:ascii="宋体" w:hAnsi="宋体" w:cs="宋体"/>
          <w:color w:val="auto"/>
          <w:sz w:val="24"/>
        </w:rPr>
      </w:pPr>
      <w:r>
        <w:rPr>
          <w:rFonts w:hint="eastAsia" w:ascii="宋体" w:hAnsi="宋体" w:cs="宋体"/>
          <w:color w:val="auto"/>
          <w:sz w:val="24"/>
        </w:rPr>
        <w:t>　　（二）设定的资格、技术、商务条件与服务项目的具体特点和实际需要不相适应或者与合同履行无关；</w:t>
      </w:r>
    </w:p>
    <w:p>
      <w:pPr>
        <w:spacing w:line="360" w:lineRule="auto"/>
        <w:rPr>
          <w:rFonts w:ascii="宋体" w:hAnsi="宋体" w:cs="宋体"/>
          <w:color w:val="auto"/>
          <w:sz w:val="24"/>
        </w:rPr>
      </w:pPr>
      <w:r>
        <w:rPr>
          <w:rFonts w:hint="eastAsia" w:ascii="宋体" w:hAnsi="宋体" w:cs="宋体"/>
          <w:color w:val="auto"/>
          <w:sz w:val="24"/>
        </w:rPr>
        <w:t>　　（三）采购需求中的技术、服务等要求指向特定供应商、特定产品；</w:t>
      </w:r>
    </w:p>
    <w:p>
      <w:pPr>
        <w:spacing w:line="360" w:lineRule="auto"/>
        <w:rPr>
          <w:rFonts w:ascii="宋体" w:hAnsi="宋体" w:cs="宋体"/>
          <w:color w:val="auto"/>
          <w:sz w:val="24"/>
        </w:rPr>
      </w:pPr>
      <w:r>
        <w:rPr>
          <w:rFonts w:hint="eastAsia" w:ascii="宋体" w:hAnsi="宋体" w:cs="宋体"/>
          <w:color w:val="auto"/>
          <w:sz w:val="24"/>
        </w:rPr>
        <w:t>　　（四）以特定行政区域或者特定行业的业绩、奖项作为加分条件或者中标、成交条件；</w:t>
      </w:r>
    </w:p>
    <w:p>
      <w:pPr>
        <w:spacing w:line="360" w:lineRule="auto"/>
        <w:rPr>
          <w:rFonts w:ascii="宋体" w:hAnsi="宋体" w:cs="宋体"/>
          <w:color w:val="auto"/>
          <w:sz w:val="24"/>
        </w:rPr>
      </w:pPr>
      <w:r>
        <w:rPr>
          <w:rFonts w:hint="eastAsia" w:ascii="宋体" w:hAnsi="宋体" w:cs="宋体"/>
          <w:color w:val="auto"/>
          <w:sz w:val="24"/>
        </w:rPr>
        <w:t>　　（五）对供应商采取不同的资格审查或者评审标准；</w:t>
      </w:r>
    </w:p>
    <w:p>
      <w:pPr>
        <w:spacing w:line="360" w:lineRule="auto"/>
        <w:rPr>
          <w:rFonts w:ascii="宋体" w:hAnsi="宋体" w:cs="宋体"/>
          <w:color w:val="auto"/>
          <w:sz w:val="24"/>
        </w:rPr>
      </w:pPr>
      <w:r>
        <w:rPr>
          <w:rFonts w:hint="eastAsia" w:ascii="宋体" w:hAnsi="宋体" w:cs="宋体"/>
          <w:color w:val="auto"/>
          <w:sz w:val="24"/>
        </w:rPr>
        <w:t>　　（六）限定或者指定特定的专利、商标、品牌或者供应商；</w:t>
      </w:r>
    </w:p>
    <w:p>
      <w:pPr>
        <w:spacing w:line="360" w:lineRule="auto"/>
        <w:ind w:firstLine="405"/>
        <w:rPr>
          <w:rFonts w:ascii="宋体" w:hAnsi="宋体" w:cs="宋体"/>
          <w:color w:val="auto"/>
          <w:sz w:val="24"/>
        </w:rPr>
      </w:pPr>
      <w:r>
        <w:rPr>
          <w:rFonts w:hint="eastAsia" w:ascii="宋体" w:hAnsi="宋体" w:cs="宋体"/>
          <w:color w:val="auto"/>
          <w:sz w:val="24"/>
        </w:rPr>
        <w:t>（七）非法限定供应商的所有制形式、组织形式或者所在地；</w:t>
      </w:r>
    </w:p>
    <w:p>
      <w:pPr>
        <w:spacing w:line="360" w:lineRule="auto"/>
        <w:ind w:firstLine="405"/>
        <w:rPr>
          <w:rFonts w:ascii="宋体" w:hAnsi="宋体" w:cs="宋体"/>
          <w:color w:val="auto"/>
          <w:sz w:val="24"/>
        </w:rPr>
      </w:pPr>
      <w:r>
        <w:rPr>
          <w:rFonts w:hint="eastAsia" w:ascii="宋体" w:hAnsi="宋体" w:cs="宋体"/>
          <w:color w:val="auto"/>
          <w:sz w:val="24"/>
        </w:rPr>
        <w:t>（八）以其他不合理条件限制或者排斥潜在供应商。</w:t>
      </w:r>
    </w:p>
    <w:p>
      <w:pPr>
        <w:spacing w:line="360" w:lineRule="auto"/>
        <w:ind w:firstLine="480" w:firstLineChars="200"/>
        <w:rPr>
          <w:rFonts w:ascii="宋体" w:hAnsi="宋体" w:cs="宋体"/>
          <w:color w:val="auto"/>
          <w:sz w:val="24"/>
        </w:rPr>
      </w:pPr>
      <w:r>
        <w:rPr>
          <w:rFonts w:hint="eastAsia" w:ascii="宋体" w:hAnsi="宋体" w:cs="宋体"/>
          <w:color w:val="auto"/>
          <w:sz w:val="24"/>
        </w:rPr>
        <w:t>若有以上现象，评委将本招标文件相关条款执行。</w:t>
      </w:r>
    </w:p>
    <w:p>
      <w:pPr>
        <w:pStyle w:val="124"/>
        <w:spacing w:line="240" w:lineRule="auto"/>
        <w:rPr>
          <w:rFonts w:ascii="宋体" w:hAnsi="宋体"/>
          <w:color w:val="auto"/>
          <w:sz w:val="21"/>
          <w:szCs w:val="21"/>
        </w:rPr>
      </w:pPr>
      <w:bookmarkStart w:id="451" w:name="_Toc397928598"/>
      <w:bookmarkStart w:id="452" w:name="_Toc511142490"/>
      <w:r>
        <w:rPr>
          <w:rFonts w:hint="eastAsia" w:ascii="宋体" w:hAnsi="宋体"/>
          <w:color w:val="auto"/>
        </w:rPr>
        <w:t>10. 招标人需要补充的其他内容</w:t>
      </w:r>
      <w:bookmarkEnd w:id="446"/>
      <w:bookmarkEnd w:id="447"/>
      <w:bookmarkEnd w:id="448"/>
      <w:bookmarkEnd w:id="449"/>
      <w:bookmarkEnd w:id="451"/>
      <w:bookmarkEnd w:id="452"/>
    </w:p>
    <w:p>
      <w:pPr>
        <w:spacing w:line="360" w:lineRule="auto"/>
        <w:ind w:firstLine="480" w:firstLineChars="200"/>
        <w:rPr>
          <w:rFonts w:ascii="宋体" w:hAnsi="宋体" w:cs="宋体"/>
          <w:b/>
          <w:color w:val="auto"/>
          <w:sz w:val="24"/>
        </w:rPr>
      </w:pPr>
      <w:r>
        <w:rPr>
          <w:rFonts w:hint="eastAsia" w:ascii="宋体" w:hAnsi="宋体" w:cs="宋体"/>
          <w:b/>
          <w:color w:val="auto"/>
          <w:sz w:val="24"/>
        </w:rPr>
        <w:t>10.1重新招标与不再招标</w:t>
      </w:r>
    </w:p>
    <w:p>
      <w:pPr>
        <w:spacing w:line="360" w:lineRule="auto"/>
        <w:ind w:firstLine="480" w:firstLineChars="200"/>
        <w:rPr>
          <w:rFonts w:ascii="宋体" w:hAnsi="宋体" w:cs="宋体"/>
          <w:color w:val="auto"/>
          <w:sz w:val="24"/>
        </w:rPr>
      </w:pPr>
      <w:r>
        <w:rPr>
          <w:rFonts w:hint="eastAsia" w:ascii="宋体" w:hAnsi="宋体" w:cs="宋体"/>
          <w:color w:val="auto"/>
          <w:sz w:val="24"/>
        </w:rPr>
        <w:t>A、重新招标</w:t>
      </w:r>
    </w:p>
    <w:p>
      <w:pPr>
        <w:spacing w:line="360" w:lineRule="auto"/>
        <w:ind w:firstLine="480" w:firstLineChars="200"/>
        <w:rPr>
          <w:rFonts w:ascii="宋体" w:hAnsi="宋体" w:cs="宋体"/>
          <w:color w:val="auto"/>
          <w:sz w:val="24"/>
        </w:rPr>
      </w:pPr>
      <w:r>
        <w:rPr>
          <w:rFonts w:hint="eastAsia" w:ascii="宋体" w:hAnsi="宋体" w:cs="宋体"/>
          <w:color w:val="auto"/>
          <w:sz w:val="24"/>
        </w:rPr>
        <w:t>有下列情形之一的，招标人应当采取改进措施后重新招标：</w:t>
      </w:r>
    </w:p>
    <w:p>
      <w:pPr>
        <w:spacing w:line="360" w:lineRule="auto"/>
        <w:ind w:firstLine="480" w:firstLineChars="200"/>
        <w:rPr>
          <w:rFonts w:ascii="宋体" w:hAnsi="宋体" w:cs="宋体"/>
          <w:color w:val="auto"/>
          <w:sz w:val="24"/>
        </w:rPr>
      </w:pPr>
      <w:r>
        <w:rPr>
          <w:rFonts w:hint="eastAsia" w:ascii="宋体" w:hAnsi="宋体" w:cs="宋体"/>
          <w:color w:val="auto"/>
          <w:sz w:val="24"/>
        </w:rPr>
        <w:t>（1）获取招标文件的潜在投标人少于3个的；</w:t>
      </w:r>
    </w:p>
    <w:p>
      <w:pPr>
        <w:spacing w:line="360" w:lineRule="auto"/>
        <w:ind w:firstLine="480" w:firstLineChars="200"/>
        <w:rPr>
          <w:rFonts w:ascii="宋体" w:hAnsi="宋体" w:cs="宋体"/>
          <w:color w:val="auto"/>
          <w:sz w:val="24"/>
        </w:rPr>
      </w:pPr>
      <w:r>
        <w:rPr>
          <w:rFonts w:hint="eastAsia" w:ascii="宋体" w:hAnsi="宋体" w:cs="宋体"/>
          <w:color w:val="auto"/>
          <w:sz w:val="24"/>
        </w:rPr>
        <w:t>（2）通过符合性评审的投标申请人少于3个的。</w:t>
      </w:r>
    </w:p>
    <w:p>
      <w:pPr>
        <w:spacing w:line="360" w:lineRule="auto"/>
        <w:ind w:firstLine="480" w:firstLineChars="200"/>
        <w:rPr>
          <w:rFonts w:ascii="宋体" w:hAnsi="宋体" w:cs="宋体"/>
          <w:color w:val="auto"/>
          <w:sz w:val="24"/>
        </w:rPr>
      </w:pPr>
      <w:r>
        <w:rPr>
          <w:rFonts w:hint="eastAsia" w:ascii="宋体" w:hAnsi="宋体" w:cs="宋体"/>
          <w:color w:val="auto"/>
          <w:sz w:val="24"/>
        </w:rPr>
        <w:t>B、不再招标</w:t>
      </w:r>
    </w:p>
    <w:p>
      <w:pPr>
        <w:spacing w:line="360" w:lineRule="auto"/>
        <w:ind w:firstLine="480" w:firstLineChars="200"/>
        <w:rPr>
          <w:rFonts w:ascii="宋体" w:hAnsi="宋体" w:cs="宋体"/>
          <w:color w:val="auto"/>
          <w:sz w:val="24"/>
        </w:rPr>
      </w:pPr>
      <w:r>
        <w:rPr>
          <w:rFonts w:hint="eastAsia" w:ascii="宋体" w:hAnsi="宋体" w:cs="宋体"/>
          <w:color w:val="auto"/>
          <w:sz w:val="24"/>
        </w:rPr>
        <w:t>10.1重新招标后，仍存在上述A条情形的，属于经相关部门核准后可不再进行招标，招标人可以采取竞争性谈判方式”、“单一来源采购方式”等条款评审、确定潜在的中标人。</w:t>
      </w:r>
    </w:p>
    <w:p>
      <w:pPr>
        <w:spacing w:line="360" w:lineRule="auto"/>
        <w:ind w:firstLine="480" w:firstLineChars="200"/>
        <w:rPr>
          <w:rFonts w:ascii="宋体" w:hAnsi="宋体" w:cs="宋体"/>
          <w:color w:val="auto"/>
          <w:sz w:val="24"/>
        </w:rPr>
      </w:pPr>
      <w:r>
        <w:rPr>
          <w:rFonts w:hint="eastAsia" w:ascii="宋体" w:hAnsi="宋体" w:cs="宋体"/>
          <w:color w:val="auto"/>
          <w:sz w:val="24"/>
        </w:rPr>
        <w:t>10.2招标人在发出中标通知书如发现投标人投标文件所提交的材料经查实存在虚假情形的，将被取消中标资格。</w:t>
      </w:r>
    </w:p>
    <w:p>
      <w:pPr>
        <w:spacing w:line="360" w:lineRule="auto"/>
        <w:ind w:firstLine="480" w:firstLineChars="200"/>
        <w:rPr>
          <w:rFonts w:ascii="宋体" w:hAnsi="宋体" w:cs="宋体"/>
          <w:color w:val="auto"/>
          <w:sz w:val="24"/>
        </w:rPr>
      </w:pPr>
      <w:r>
        <w:rPr>
          <w:rFonts w:hint="eastAsia" w:ascii="宋体" w:hAnsi="宋体" w:cs="宋体"/>
          <w:color w:val="auto"/>
          <w:sz w:val="24"/>
        </w:rPr>
        <w:t>10.3付款方式：</w:t>
      </w:r>
      <w:r>
        <w:rPr>
          <w:rFonts w:hint="eastAsia" w:ascii="宋体" w:hAnsi="宋体" w:cs="宋体"/>
          <w:bCs/>
          <w:color w:val="auto"/>
          <w:sz w:val="24"/>
        </w:rPr>
        <w:t>合同签订后7个工作日内付10%预付款，项目验收合格并经审核结束后付至审核价款的95%，余款待审核结束且服务期满后无息付清。</w:t>
      </w:r>
      <w:r>
        <w:rPr>
          <w:rFonts w:hint="eastAsia" w:ascii="宋体" w:hAnsi="宋体" w:cs="宋体"/>
          <w:color w:val="auto"/>
          <w:sz w:val="24"/>
        </w:rPr>
        <w:t>。</w:t>
      </w:r>
    </w:p>
    <w:p>
      <w:pPr>
        <w:spacing w:line="360" w:lineRule="auto"/>
        <w:ind w:firstLine="480" w:firstLineChars="200"/>
        <w:rPr>
          <w:rFonts w:ascii="宋体" w:hAnsi="宋体" w:cs="宋体"/>
          <w:color w:val="auto"/>
          <w:szCs w:val="21"/>
        </w:rPr>
      </w:pPr>
      <w:r>
        <w:rPr>
          <w:rFonts w:hint="eastAsia" w:ascii="宋体" w:hAnsi="宋体" w:cs="宋体"/>
          <w:color w:val="auto"/>
          <w:sz w:val="24"/>
        </w:rPr>
        <w:t>10.4本项目招标代理费向中标单位收取，招标代理费参照国家发改价格[2011]534号文件规定服务类标准*40%缴纳；请投标人考虑在投标报价中，但不单列。</w:t>
      </w:r>
    </w:p>
    <w:p>
      <w:pPr>
        <w:pStyle w:val="57"/>
        <w:rPr>
          <w:color w:val="auto"/>
        </w:rPr>
      </w:pPr>
    </w:p>
    <w:p>
      <w:pPr>
        <w:pStyle w:val="3"/>
        <w:numPr>
          <w:ilvl w:val="0"/>
          <w:numId w:val="4"/>
        </w:numPr>
        <w:spacing w:line="240" w:lineRule="auto"/>
        <w:rPr>
          <w:color w:val="auto"/>
          <w:sz w:val="36"/>
          <w:szCs w:val="36"/>
        </w:rPr>
      </w:pPr>
      <w:r>
        <w:rPr>
          <w:rFonts w:hint="eastAsia"/>
          <w:color w:val="auto"/>
          <w:sz w:val="20"/>
          <w:szCs w:val="20"/>
        </w:rPr>
        <w:br w:type="page"/>
      </w:r>
      <w:bookmarkStart w:id="453" w:name="_Toc19144"/>
      <w:bookmarkStart w:id="454" w:name="_Toc397928599"/>
      <w:bookmarkStart w:id="455" w:name="_Toc511142493"/>
      <w:r>
        <w:rPr>
          <w:rFonts w:hint="eastAsia"/>
          <w:color w:val="auto"/>
          <w:sz w:val="36"/>
          <w:szCs w:val="36"/>
        </w:rPr>
        <w:t>评标办法（综合评分法）</w:t>
      </w:r>
      <w:bookmarkEnd w:id="453"/>
    </w:p>
    <w:p>
      <w:pPr>
        <w:autoSpaceDE w:val="0"/>
        <w:autoSpaceDN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根据《中华人民共和国政府采购法实施条例》第九条规定，评委评标前签订评标回避书，作为永久档案存档。</w:t>
      </w:r>
    </w:p>
    <w:p>
      <w:pPr>
        <w:pStyle w:val="4"/>
        <w:spacing w:line="240" w:lineRule="auto"/>
        <w:rPr>
          <w:rFonts w:ascii="宋体" w:hAnsi="宋体" w:eastAsia="宋体" w:cs="宋体"/>
          <w:color w:val="auto"/>
        </w:rPr>
      </w:pPr>
      <w:bookmarkStart w:id="456" w:name="_Toc29776"/>
      <w:bookmarkStart w:id="457" w:name="_Toc23639"/>
      <w:bookmarkStart w:id="458" w:name="_Toc25577"/>
      <w:bookmarkStart w:id="459" w:name="_Toc28209"/>
      <w:r>
        <w:rPr>
          <w:rFonts w:hint="eastAsia" w:ascii="宋体" w:hAnsi="宋体" w:eastAsia="宋体" w:cs="宋体"/>
          <w:color w:val="auto"/>
        </w:rPr>
        <w:t>1． 评标方法</w:t>
      </w:r>
      <w:bookmarkEnd w:id="456"/>
      <w:bookmarkEnd w:id="457"/>
      <w:bookmarkEnd w:id="458"/>
      <w:bookmarkEnd w:id="459"/>
    </w:p>
    <w:p>
      <w:pPr>
        <w:autoSpaceDE w:val="0"/>
        <w:autoSpaceDN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本次评标采用综合评分法。评标委员会对满足招标文件实质性要求的投标文件，按照本招标文件规定的评分标准进行打分，并按得分由高到低顺序推荐中标候选人。综合评分相等时，以投标报价低的优先；投标报价也相等的，由评标委员会抽签确定。最低报价及任何单项因素的最优均不是中标的必要条件。</w:t>
      </w:r>
    </w:p>
    <w:p>
      <w:pPr>
        <w:pStyle w:val="4"/>
        <w:spacing w:line="240" w:lineRule="auto"/>
        <w:rPr>
          <w:rFonts w:ascii="宋体" w:hAnsi="宋体" w:eastAsia="宋体" w:cs="宋体"/>
          <w:color w:val="auto"/>
          <w:sz w:val="24"/>
          <w:szCs w:val="24"/>
        </w:rPr>
      </w:pPr>
      <w:bookmarkStart w:id="460" w:name="_Toc184635094"/>
      <w:bookmarkStart w:id="461" w:name="_Toc8379"/>
      <w:bookmarkStart w:id="462" w:name="_Toc511142495"/>
      <w:bookmarkStart w:id="463" w:name="_Toc397928602"/>
      <w:bookmarkStart w:id="464" w:name="_Toc10088"/>
      <w:bookmarkStart w:id="465" w:name="_Toc21741"/>
      <w:bookmarkStart w:id="466" w:name="_Toc4434"/>
      <w:bookmarkStart w:id="467" w:name="_Toc1632"/>
      <w:r>
        <w:rPr>
          <w:rFonts w:hint="eastAsia" w:ascii="宋体" w:hAnsi="宋体" w:eastAsia="宋体" w:cs="宋体"/>
          <w:color w:val="auto"/>
        </w:rPr>
        <w:t>2． 评审标准</w:t>
      </w:r>
      <w:bookmarkEnd w:id="460"/>
      <w:bookmarkEnd w:id="461"/>
      <w:bookmarkEnd w:id="462"/>
      <w:bookmarkEnd w:id="463"/>
      <w:bookmarkEnd w:id="464"/>
      <w:bookmarkEnd w:id="465"/>
      <w:bookmarkEnd w:id="466"/>
      <w:bookmarkEnd w:id="467"/>
    </w:p>
    <w:p>
      <w:pPr>
        <w:pStyle w:val="5"/>
        <w:spacing w:before="0" w:after="0" w:line="360" w:lineRule="auto"/>
        <w:ind w:firstLine="118"/>
        <w:rPr>
          <w:rFonts w:ascii="宋体" w:hAnsi="宋体" w:eastAsia="宋体" w:cs="宋体"/>
          <w:color w:val="auto"/>
          <w:szCs w:val="24"/>
        </w:rPr>
      </w:pPr>
      <w:bookmarkStart w:id="468" w:name="_Toc24960"/>
      <w:bookmarkStart w:id="469" w:name="_Toc397928603"/>
      <w:bookmarkStart w:id="470" w:name="_Toc314"/>
      <w:bookmarkStart w:id="471" w:name="_Toc32542"/>
      <w:bookmarkStart w:id="472" w:name="_Toc16222"/>
      <w:bookmarkStart w:id="473" w:name="_Toc10104"/>
      <w:bookmarkStart w:id="474" w:name="_Toc511142496"/>
      <w:r>
        <w:rPr>
          <w:rFonts w:hint="eastAsia" w:ascii="宋体" w:hAnsi="宋体" w:eastAsia="宋体" w:cs="宋体"/>
          <w:color w:val="auto"/>
          <w:szCs w:val="24"/>
        </w:rPr>
        <w:t>2.1 初步评审标准</w:t>
      </w:r>
      <w:bookmarkEnd w:id="468"/>
      <w:bookmarkEnd w:id="469"/>
      <w:bookmarkEnd w:id="470"/>
      <w:bookmarkEnd w:id="471"/>
      <w:bookmarkEnd w:id="472"/>
      <w:bookmarkEnd w:id="473"/>
      <w:bookmarkEnd w:id="474"/>
    </w:p>
    <w:p>
      <w:pPr>
        <w:spacing w:line="360" w:lineRule="auto"/>
        <w:ind w:firstLine="480" w:firstLineChars="200"/>
        <w:rPr>
          <w:rFonts w:ascii="宋体" w:hAnsi="宋体" w:cs="宋体"/>
          <w:color w:val="auto"/>
          <w:sz w:val="24"/>
        </w:rPr>
      </w:pPr>
      <w:r>
        <w:rPr>
          <w:rFonts w:hint="eastAsia" w:ascii="宋体" w:hAnsi="宋体" w:cs="宋体"/>
          <w:color w:val="auto"/>
          <w:sz w:val="24"/>
        </w:rPr>
        <w:t>2.1.1 资质性评审标准：</w:t>
      </w:r>
    </w:p>
    <w:p>
      <w:pPr>
        <w:spacing w:line="360" w:lineRule="auto"/>
        <w:ind w:firstLine="480" w:firstLineChars="200"/>
        <w:rPr>
          <w:rFonts w:ascii="宋体" w:hAnsi="宋体" w:cs="宋体"/>
          <w:b/>
          <w:color w:val="auto"/>
          <w:sz w:val="24"/>
        </w:rPr>
      </w:pPr>
      <w:r>
        <w:rPr>
          <w:rFonts w:hint="eastAsia" w:ascii="宋体" w:hAnsi="宋体" w:cs="宋体"/>
          <w:b/>
          <w:color w:val="auto"/>
          <w:sz w:val="24"/>
        </w:rPr>
        <w:t>在投标时应按招标文件要求递交，未提交或资料不全的，资格审查不予通过。</w:t>
      </w:r>
    </w:p>
    <w:p>
      <w:pPr>
        <w:spacing w:line="360" w:lineRule="auto"/>
        <w:ind w:firstLine="480" w:firstLineChars="200"/>
        <w:rPr>
          <w:rFonts w:ascii="宋体" w:hAnsi="宋体" w:cs="宋体"/>
          <w:color w:val="auto"/>
          <w:sz w:val="24"/>
        </w:rPr>
      </w:pPr>
      <w:r>
        <w:rPr>
          <w:rFonts w:hint="eastAsia" w:ascii="宋体" w:hAnsi="宋体" w:cs="宋体"/>
          <w:color w:val="auto"/>
          <w:sz w:val="24"/>
        </w:rPr>
        <w:t>2.1.2 符合性评审标准：依据招标文件的规定，从投标文件的有效性、完整性和对招标文件的响应程度进行审查，以确定是否对招标文件的实质性要求作出响应。</w:t>
      </w:r>
    </w:p>
    <w:p>
      <w:pPr>
        <w:spacing w:line="360" w:lineRule="auto"/>
        <w:ind w:firstLine="480" w:firstLineChars="200"/>
        <w:rPr>
          <w:rFonts w:ascii="宋体" w:hAnsi="宋体" w:cs="宋体"/>
          <w:color w:val="auto"/>
          <w:sz w:val="24"/>
        </w:rPr>
      </w:pPr>
      <w:r>
        <w:rPr>
          <w:rFonts w:hint="eastAsia" w:ascii="宋体" w:hAnsi="宋体" w:cs="宋体"/>
          <w:color w:val="auto"/>
          <w:sz w:val="24"/>
        </w:rPr>
        <w:t>审查标准主要有投标文件签字盖章、投标文件的组成、投标文件及报价唯一、交货期或工期、质量要求等方面。</w:t>
      </w:r>
    </w:p>
    <w:p>
      <w:pPr>
        <w:spacing w:line="360" w:lineRule="auto"/>
        <w:ind w:firstLine="480" w:firstLineChars="200"/>
        <w:rPr>
          <w:rFonts w:ascii="宋体" w:hAnsi="宋体" w:cs="宋体"/>
          <w:color w:val="auto"/>
          <w:sz w:val="24"/>
        </w:rPr>
      </w:pPr>
      <w:bookmarkStart w:id="475" w:name="_Toc12227"/>
      <w:bookmarkStart w:id="476" w:name="_Toc21490"/>
      <w:bookmarkStart w:id="477" w:name="_Toc9718"/>
      <w:bookmarkStart w:id="478" w:name="_Toc6600"/>
      <w:r>
        <w:rPr>
          <w:rFonts w:hint="eastAsia" w:ascii="宋体" w:hAnsi="宋体" w:cs="宋体"/>
          <w:color w:val="auto"/>
          <w:sz w:val="24"/>
        </w:rPr>
        <w:t>2.2 分值构成与评分标准</w:t>
      </w:r>
      <w:bookmarkEnd w:id="475"/>
      <w:bookmarkEnd w:id="476"/>
      <w:bookmarkEnd w:id="477"/>
      <w:bookmarkEnd w:id="478"/>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对小型或微型企业投标的扶持： </w:t>
      </w:r>
    </w:p>
    <w:p>
      <w:pPr>
        <w:spacing w:line="360" w:lineRule="auto"/>
        <w:ind w:firstLine="480" w:firstLineChars="200"/>
        <w:rPr>
          <w:rFonts w:ascii="宋体" w:hAnsi="宋体" w:cs="宋体"/>
          <w:color w:val="auto"/>
          <w:sz w:val="24"/>
        </w:rPr>
      </w:pPr>
      <w:r>
        <w:rPr>
          <w:rFonts w:hint="eastAsia" w:ascii="宋体" w:hAnsi="宋体" w:cs="宋体"/>
          <w:color w:val="auto"/>
          <w:sz w:val="24"/>
        </w:rPr>
        <w:t>对小型和微型企业的</w:t>
      </w:r>
      <w:r>
        <w:rPr>
          <w:rFonts w:hint="eastAsia" w:ascii="宋体" w:hAnsi="宋体" w:cs="宋体"/>
          <w:color w:val="auto"/>
          <w:sz w:val="24"/>
          <w:lang w:val="en-US" w:eastAsia="zh-CN"/>
        </w:rPr>
        <w:t>服务</w:t>
      </w:r>
      <w:r>
        <w:rPr>
          <w:rFonts w:hint="eastAsia" w:ascii="宋体" w:hAnsi="宋体" w:cs="宋体"/>
          <w:color w:val="auto"/>
          <w:sz w:val="24"/>
        </w:rPr>
        <w:t>给予10%的价格扣除，用扣除后的价格参与评审，</w:t>
      </w:r>
      <w:r>
        <w:rPr>
          <w:rFonts w:hint="eastAsia" w:ascii="宋体" w:hAnsi="宋体" w:cs="宋体"/>
          <w:color w:val="auto"/>
          <w:sz w:val="24"/>
          <w:lang w:val="en-US" w:eastAsia="zh-CN"/>
        </w:rPr>
        <w:t>本项目所属行</w:t>
      </w:r>
      <w:r>
        <w:rPr>
          <w:rFonts w:hint="eastAsia" w:ascii="宋体" w:hAnsi="宋体" w:cs="宋体"/>
          <w:color w:val="auto"/>
          <w:sz w:val="24"/>
        </w:rPr>
        <w:t>业为信息传输业，中小微企业划分标准以工信部、国家统计局、国家发改委、财政部《关于印发中小企业划型标准规定的通知》（工信部联企业{2011}300 号）文件规定自行填写，否则不予认可。中小微企业在投标文件中，须签署《中小企业声明函》如有虚假，将按照《中华人民共和国政府采购法》第七十七条依法承担相应责任。</w:t>
      </w:r>
    </w:p>
    <w:p>
      <w:pPr>
        <w:pStyle w:val="2"/>
        <w:ind w:firstLine="240"/>
        <w:rPr>
          <w:rFonts w:ascii="宋体" w:hAnsi="宋体" w:cs="宋体"/>
          <w:color w:val="auto"/>
          <w:sz w:val="24"/>
        </w:rPr>
      </w:pPr>
    </w:p>
    <w:p>
      <w:pPr>
        <w:pStyle w:val="2"/>
        <w:ind w:firstLine="240"/>
        <w:rPr>
          <w:rFonts w:ascii="宋体" w:hAnsi="宋体" w:cs="宋体"/>
          <w:color w:val="auto"/>
          <w:sz w:val="24"/>
        </w:rPr>
      </w:pPr>
    </w:p>
    <w:p>
      <w:pPr>
        <w:pStyle w:val="2"/>
        <w:ind w:firstLine="240"/>
        <w:rPr>
          <w:rFonts w:ascii="宋体" w:hAnsi="宋体" w:cs="宋体"/>
          <w:color w:val="auto"/>
          <w:sz w:val="24"/>
        </w:rPr>
      </w:pPr>
    </w:p>
    <w:p>
      <w:pPr>
        <w:pStyle w:val="2"/>
        <w:ind w:firstLine="0" w:firstLineChars="0"/>
        <w:rPr>
          <w:rFonts w:ascii="宋体" w:hAnsi="宋体" w:cs="宋体"/>
          <w:color w:val="auto"/>
          <w:sz w:val="24"/>
        </w:rPr>
      </w:pPr>
    </w:p>
    <w:tbl>
      <w:tblPr>
        <w:tblStyle w:val="45"/>
        <w:tblpPr w:leftFromText="180" w:rightFromText="180" w:vertAnchor="text" w:horzAnchor="page" w:tblpX="1466" w:tblpY="956"/>
        <w:tblOverlap w:val="never"/>
        <w:tblW w:w="8787"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
      <w:tblGrid>
        <w:gridCol w:w="851"/>
        <w:gridCol w:w="1134"/>
        <w:gridCol w:w="633"/>
        <w:gridCol w:w="6169"/>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60"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pPr>
              <w:rPr>
                <w:color w:val="auto"/>
                <w:sz w:val="24"/>
              </w:rPr>
            </w:pPr>
            <w:bookmarkStart w:id="479" w:name="_Toc511142497"/>
            <w:bookmarkStart w:id="480" w:name="_Toc397928604"/>
            <w:bookmarkStart w:id="481" w:name="_Toc26754"/>
            <w:bookmarkStart w:id="482" w:name="_Toc32592"/>
            <w:r>
              <w:rPr>
                <w:rFonts w:hint="eastAsia"/>
                <w:color w:val="auto"/>
                <w:sz w:val="24"/>
              </w:rPr>
              <w:t>序号</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24"/>
              </w:rPr>
            </w:pPr>
            <w:r>
              <w:rPr>
                <w:color w:val="auto"/>
                <w:sz w:val="24"/>
              </w:rPr>
              <w:t>评分因素</w:t>
            </w:r>
          </w:p>
        </w:tc>
        <w:tc>
          <w:tcPr>
            <w:tcW w:w="633" w:type="dxa"/>
            <w:tcBorders>
              <w:top w:val="single" w:color="000000" w:sz="4" w:space="0"/>
              <w:left w:val="single" w:color="000000" w:sz="4" w:space="0"/>
              <w:bottom w:val="single" w:color="000000" w:sz="4" w:space="0"/>
              <w:right w:val="single" w:color="000000" w:sz="4" w:space="0"/>
            </w:tcBorders>
            <w:noWrap/>
            <w:vAlign w:val="center"/>
          </w:tcPr>
          <w:p>
            <w:pPr>
              <w:jc w:val="center"/>
              <w:rPr>
                <w:color w:val="auto"/>
                <w:sz w:val="24"/>
              </w:rPr>
            </w:pPr>
            <w:r>
              <w:rPr>
                <w:color w:val="auto"/>
                <w:sz w:val="24"/>
              </w:rPr>
              <w:t>分数</w:t>
            </w:r>
          </w:p>
        </w:tc>
        <w:tc>
          <w:tcPr>
            <w:tcW w:w="6169"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4"/>
              </w:rPr>
            </w:pPr>
            <w:r>
              <w:rPr>
                <w:color w:val="auto"/>
                <w:sz w:val="24"/>
              </w:rPr>
              <w:t>评分标准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400" w:hRule="atLeast"/>
        </w:trPr>
        <w:tc>
          <w:tcPr>
            <w:tcW w:w="851" w:type="dxa"/>
            <w:tcBorders>
              <w:top w:val="single" w:color="000000" w:sz="4" w:space="0"/>
              <w:left w:val="single" w:color="000000" w:sz="4" w:space="0"/>
              <w:bottom w:val="single" w:color="auto" w:sz="4" w:space="0"/>
              <w:right w:val="single" w:color="000000" w:sz="4" w:space="0"/>
            </w:tcBorders>
            <w:vAlign w:val="center"/>
          </w:tcPr>
          <w:p>
            <w:pPr>
              <w:jc w:val="center"/>
              <w:rPr>
                <w:color w:val="auto"/>
                <w:sz w:val="24"/>
              </w:rPr>
            </w:pPr>
            <w:r>
              <w:rPr>
                <w:rFonts w:hint="eastAsia"/>
                <w:color w:val="auto"/>
                <w:sz w:val="24"/>
              </w:rPr>
              <w:t>1</w:t>
            </w:r>
          </w:p>
        </w:tc>
        <w:tc>
          <w:tcPr>
            <w:tcW w:w="1134" w:type="dxa"/>
            <w:tcBorders>
              <w:top w:val="single" w:color="000000" w:sz="4" w:space="0"/>
              <w:left w:val="single" w:color="000000" w:sz="4" w:space="0"/>
              <w:bottom w:val="single" w:color="auto" w:sz="4" w:space="0"/>
              <w:right w:val="single" w:color="000000" w:sz="4" w:space="0"/>
            </w:tcBorders>
            <w:noWrap/>
            <w:vAlign w:val="center"/>
          </w:tcPr>
          <w:p>
            <w:pPr>
              <w:jc w:val="center"/>
              <w:rPr>
                <w:color w:val="auto"/>
                <w:sz w:val="24"/>
              </w:rPr>
            </w:pPr>
            <w:r>
              <w:rPr>
                <w:color w:val="auto"/>
                <w:sz w:val="24"/>
              </w:rPr>
              <w:t>报价</w:t>
            </w:r>
          </w:p>
        </w:tc>
        <w:tc>
          <w:tcPr>
            <w:tcW w:w="633" w:type="dxa"/>
            <w:tcBorders>
              <w:top w:val="single" w:color="000000" w:sz="4" w:space="0"/>
              <w:left w:val="single" w:color="000000" w:sz="4" w:space="0"/>
              <w:bottom w:val="single" w:color="auto" w:sz="4" w:space="0"/>
              <w:right w:val="single" w:color="000000" w:sz="4" w:space="0"/>
            </w:tcBorders>
            <w:noWrap/>
            <w:vAlign w:val="center"/>
          </w:tcPr>
          <w:p>
            <w:pPr>
              <w:jc w:val="center"/>
              <w:rPr>
                <w:color w:val="auto"/>
                <w:sz w:val="24"/>
              </w:rPr>
            </w:pPr>
            <w:r>
              <w:rPr>
                <w:rFonts w:hint="eastAsia"/>
                <w:color w:val="auto"/>
                <w:sz w:val="24"/>
              </w:rPr>
              <w:t>5</w:t>
            </w:r>
            <w:r>
              <w:rPr>
                <w:color w:val="auto"/>
                <w:sz w:val="24"/>
              </w:rPr>
              <w:t>0</w:t>
            </w:r>
          </w:p>
        </w:tc>
        <w:tc>
          <w:tcPr>
            <w:tcW w:w="6169" w:type="dxa"/>
            <w:tcBorders>
              <w:top w:val="single" w:color="000000" w:sz="4" w:space="0"/>
              <w:left w:val="single" w:color="000000" w:sz="4" w:space="0"/>
              <w:bottom w:val="single" w:color="auto" w:sz="4" w:space="0"/>
              <w:right w:val="single" w:color="000000" w:sz="4" w:space="0"/>
            </w:tcBorders>
            <w:vAlign w:val="center"/>
          </w:tcPr>
          <w:p>
            <w:pPr>
              <w:rPr>
                <w:color w:val="auto"/>
                <w:sz w:val="24"/>
              </w:rPr>
            </w:pPr>
            <w:r>
              <w:rPr>
                <w:rFonts w:hint="eastAsia"/>
                <w:color w:val="auto"/>
                <w:sz w:val="24"/>
              </w:rPr>
              <w:t>价格分采用低价优先法计算，即满足招标文件要求且投标价格最低的投标报价为评标基准价，报价得分按照下列公式计算：投标报价得分=（评标基准价/投标报价）×50，结果保留两位小数。（有效投标报价为未被评标委员会判定为无效标的投标文件）。</w:t>
            </w:r>
          </w:p>
          <w:p>
            <w:pPr>
              <w:pStyle w:val="2"/>
              <w:ind w:firstLine="0" w:firstLineChars="0"/>
              <w:rPr>
                <w:b/>
                <w:color w:val="auto"/>
                <w:sz w:val="24"/>
              </w:rPr>
            </w:pPr>
            <w:r>
              <w:rPr>
                <w:rFonts w:hint="eastAsia"/>
                <w:b/>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2</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rFonts w:hint="eastAsia" w:ascii="宋体" w:hAnsi="宋体" w:cs="宋体"/>
                <w:color w:val="auto"/>
                <w:kern w:val="0"/>
                <w:sz w:val="24"/>
              </w:rPr>
              <w:t>类似案例</w:t>
            </w:r>
          </w:p>
        </w:tc>
        <w:tc>
          <w:tcPr>
            <w:tcW w:w="633"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rFonts w:hint="eastAsia"/>
                <w:color w:val="auto"/>
                <w:sz w:val="24"/>
              </w:rPr>
              <w:t>5</w:t>
            </w:r>
          </w:p>
        </w:tc>
        <w:tc>
          <w:tcPr>
            <w:tcW w:w="6169" w:type="dxa"/>
            <w:tcBorders>
              <w:top w:val="single" w:color="auto" w:sz="4" w:space="0"/>
              <w:left w:val="single" w:color="auto" w:sz="4" w:space="0"/>
              <w:bottom w:val="single" w:color="auto" w:sz="4" w:space="0"/>
              <w:right w:val="single" w:color="auto" w:sz="4" w:space="0"/>
            </w:tcBorders>
            <w:vAlign w:val="center"/>
          </w:tcPr>
          <w:p>
            <w:pPr>
              <w:rPr>
                <w:color w:val="auto"/>
                <w:sz w:val="24"/>
              </w:rPr>
            </w:pPr>
            <w:r>
              <w:rPr>
                <w:rFonts w:hint="eastAsia" w:ascii="宋体" w:hAnsi="宋体" w:cs="宋体"/>
                <w:color w:val="auto"/>
                <w:kern w:val="0"/>
                <w:sz w:val="24"/>
              </w:rPr>
              <w:t>每提供一份类似案例得2.5分，本项最高得5分（投标时以提供类似案例合同复印件为准）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3</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rFonts w:hint="eastAsia"/>
                <w:color w:val="auto"/>
                <w:sz w:val="24"/>
              </w:rPr>
              <w:t>承诺</w:t>
            </w:r>
          </w:p>
        </w:tc>
        <w:tc>
          <w:tcPr>
            <w:tcW w:w="633"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rFonts w:hint="eastAsia"/>
                <w:color w:val="auto"/>
                <w:sz w:val="24"/>
              </w:rPr>
              <w:t>10</w:t>
            </w:r>
          </w:p>
        </w:tc>
        <w:tc>
          <w:tcPr>
            <w:tcW w:w="6169" w:type="dxa"/>
            <w:tcBorders>
              <w:top w:val="single" w:color="auto" w:sz="4" w:space="0"/>
              <w:left w:val="single" w:color="auto" w:sz="4" w:space="0"/>
              <w:bottom w:val="single" w:color="auto" w:sz="4" w:space="0"/>
              <w:right w:val="single" w:color="auto" w:sz="4" w:space="0"/>
            </w:tcBorders>
            <w:vAlign w:val="center"/>
          </w:tcPr>
          <w:p>
            <w:pPr>
              <w:rPr>
                <w:color w:val="auto"/>
                <w:sz w:val="24"/>
              </w:rPr>
            </w:pPr>
            <w:r>
              <w:rPr>
                <w:rFonts w:hint="eastAsia" w:ascii="宋体" w:hAnsi="宋体" w:cs="宋体"/>
                <w:color w:val="auto"/>
                <w:kern w:val="0"/>
                <w:sz w:val="24"/>
              </w:rPr>
              <w:t>监管平台须与已建成的大丰蓝天卫士高空监控系统做无缝对接，承诺中标后能够完成系统建设并无缝对接的得10分，投标</w:t>
            </w:r>
            <w:r>
              <w:rPr>
                <w:rFonts w:hint="eastAsia"/>
                <w:color w:val="auto"/>
                <w:sz w:val="24"/>
              </w:rPr>
              <w:t>人须提供书面承诺材料（格式自拟）并加盖投标单位公章，</w:t>
            </w:r>
            <w:r>
              <w:rPr>
                <w:rFonts w:hint="eastAsia" w:ascii="宋体" w:hAnsi="宋体" w:cs="宋体"/>
                <w:color w:val="auto"/>
                <w:sz w:val="24"/>
              </w:rPr>
              <w:t>未承诺的不得分</w:t>
            </w:r>
            <w:r>
              <w:rPr>
                <w:rFonts w:hint="eastAsia"/>
                <w:color w:val="auto"/>
                <w:sz w:val="24"/>
              </w:rPr>
              <w:t>。对接所需的端口</w:t>
            </w:r>
            <w:r>
              <w:rPr>
                <w:rFonts w:hint="eastAsia"/>
                <w:color w:val="auto"/>
                <w:sz w:val="24"/>
                <w:lang w:val="en-US" w:eastAsia="zh-CN"/>
              </w:rPr>
              <w:t>技术</w:t>
            </w:r>
            <w:r>
              <w:rPr>
                <w:rFonts w:hint="eastAsia"/>
                <w:color w:val="auto"/>
                <w:sz w:val="24"/>
              </w:rPr>
              <w:t>信息</w:t>
            </w:r>
            <w:r>
              <w:rPr>
                <w:rFonts w:hint="eastAsia"/>
                <w:color w:val="auto"/>
                <w:sz w:val="24"/>
                <w:lang w:eastAsia="zh-CN"/>
              </w:rPr>
              <w:t>、</w:t>
            </w:r>
            <w:r>
              <w:rPr>
                <w:rFonts w:hint="eastAsia"/>
                <w:color w:val="auto"/>
                <w:sz w:val="24"/>
                <w:lang w:val="en-US" w:eastAsia="zh-CN"/>
              </w:rPr>
              <w:t>沟通协调均</w:t>
            </w:r>
            <w:r>
              <w:rPr>
                <w:rFonts w:hint="eastAsia"/>
                <w:color w:val="auto"/>
                <w:sz w:val="24"/>
              </w:rPr>
              <w:t>由招标人负责。</w:t>
            </w:r>
          </w:p>
          <w:p>
            <w:pPr>
              <w:rPr>
                <w:rFonts w:ascii="宋体" w:hAnsi="宋体" w:cs="宋体"/>
                <w:color w:val="auto"/>
                <w:kern w:val="0"/>
                <w:sz w:val="24"/>
              </w:rPr>
            </w:pPr>
            <w:r>
              <w:rPr>
                <w:rFonts w:hint="eastAsia"/>
                <w:color w:val="auto"/>
                <w:sz w:val="24"/>
              </w:rPr>
              <w:t>请各投标人结合自身实力慎重承诺，不得为了投标虚假响应，若在中标后未能实现无缝对接，提交招标人处理。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58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4</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rFonts w:hint="eastAsia" w:ascii="宋体" w:hAnsi="宋体" w:cs="宋体"/>
                <w:color w:val="auto"/>
                <w:sz w:val="24"/>
              </w:rPr>
              <w:t>服务方案</w:t>
            </w:r>
          </w:p>
        </w:tc>
        <w:tc>
          <w:tcPr>
            <w:tcW w:w="6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auto"/>
                <w:sz w:val="24"/>
                <w:lang w:eastAsia="zh-CN"/>
              </w:rPr>
            </w:pPr>
            <w:r>
              <w:rPr>
                <w:rFonts w:hint="eastAsia"/>
                <w:color w:val="auto"/>
                <w:sz w:val="24"/>
              </w:rPr>
              <w:t>2</w:t>
            </w:r>
            <w:r>
              <w:rPr>
                <w:rFonts w:hint="eastAsia"/>
                <w:color w:val="auto"/>
                <w:sz w:val="24"/>
                <w:lang w:val="en-US" w:eastAsia="zh-CN"/>
              </w:rPr>
              <w:t>8</w:t>
            </w:r>
          </w:p>
        </w:tc>
        <w:tc>
          <w:tcPr>
            <w:tcW w:w="6169"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auto"/>
                <w:kern w:val="0"/>
                <w:sz w:val="24"/>
              </w:rPr>
            </w:pPr>
            <w:r>
              <w:rPr>
                <w:rFonts w:hint="eastAsia" w:ascii="宋体" w:hAnsi="宋体" w:cs="宋体"/>
                <w:color w:val="auto"/>
                <w:kern w:val="0"/>
                <w:sz w:val="24"/>
              </w:rPr>
              <w:t>①</w:t>
            </w:r>
            <w:r>
              <w:rPr>
                <w:rFonts w:hint="eastAsia" w:ascii="宋体" w:hAnsi="宋体" w:cs="宋体"/>
                <w:color w:val="auto"/>
                <w:kern w:val="0"/>
                <w:sz w:val="24"/>
                <w:lang w:val="en-US" w:eastAsia="zh-CN"/>
              </w:rPr>
              <w:t>投标人提供人员方案的得基本4分，</w:t>
            </w:r>
            <w:r>
              <w:rPr>
                <w:rFonts w:hint="eastAsia" w:ascii="宋体" w:hAnsi="宋体" w:cs="宋体"/>
                <w:color w:val="auto"/>
                <w:kern w:val="0"/>
                <w:sz w:val="24"/>
              </w:rPr>
              <w:t>对本项目服务人员配备齐全，岗位分工明确，目标管控计划及措施情况方案清晰、科学合理，切实可行得</w:t>
            </w: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分，针对本项目服务人员配备缺失，无岗位分工，目标管控计划及措施情况方案简陋，可行性一般的得</w:t>
            </w:r>
            <w:r>
              <w:rPr>
                <w:rFonts w:hint="eastAsia" w:ascii="宋体" w:hAnsi="宋体" w:cs="宋体"/>
                <w:color w:val="auto"/>
                <w:kern w:val="0"/>
                <w:sz w:val="24"/>
                <w:lang w:val="en-US" w:eastAsia="zh-CN"/>
              </w:rPr>
              <w:t>3</w:t>
            </w:r>
            <w:r>
              <w:rPr>
                <w:rFonts w:hint="eastAsia" w:ascii="宋体" w:hAnsi="宋体" w:cs="宋体"/>
                <w:color w:val="auto"/>
                <w:kern w:val="0"/>
                <w:sz w:val="24"/>
              </w:rPr>
              <w:t>-</w:t>
            </w:r>
            <w:r>
              <w:rPr>
                <w:rFonts w:hint="eastAsia" w:ascii="宋体" w:hAnsi="宋体" w:cs="宋体"/>
                <w:color w:val="auto"/>
                <w:kern w:val="0"/>
                <w:sz w:val="24"/>
                <w:lang w:val="en-US" w:eastAsia="zh-CN"/>
              </w:rPr>
              <w:t>4</w:t>
            </w:r>
            <w:r>
              <w:rPr>
                <w:rFonts w:hint="eastAsia" w:ascii="宋体" w:hAnsi="宋体" w:cs="宋体"/>
                <w:color w:val="auto"/>
                <w:kern w:val="0"/>
                <w:sz w:val="24"/>
              </w:rPr>
              <w:t>.9分，针对本项目服务人员配备不足，方案不够清晰，疏漏的得0.1-</w:t>
            </w:r>
            <w:r>
              <w:rPr>
                <w:rFonts w:hint="eastAsia" w:ascii="宋体" w:hAnsi="宋体" w:cs="宋体"/>
                <w:color w:val="auto"/>
                <w:kern w:val="0"/>
                <w:sz w:val="24"/>
                <w:lang w:val="en-US" w:eastAsia="zh-CN"/>
              </w:rPr>
              <w:t>2</w:t>
            </w:r>
            <w:r>
              <w:rPr>
                <w:rFonts w:hint="eastAsia" w:ascii="宋体" w:hAnsi="宋体" w:cs="宋体"/>
                <w:color w:val="auto"/>
                <w:kern w:val="0"/>
                <w:sz w:val="24"/>
              </w:rPr>
              <w:t>.9分，未提供</w:t>
            </w:r>
            <w:r>
              <w:rPr>
                <w:rFonts w:hint="eastAsia" w:ascii="宋体" w:hAnsi="宋体" w:cs="宋体"/>
                <w:color w:val="auto"/>
                <w:kern w:val="0"/>
                <w:sz w:val="24"/>
                <w:lang w:val="en-US" w:eastAsia="zh-CN"/>
              </w:rPr>
              <w:t>方案</w:t>
            </w:r>
            <w:r>
              <w:rPr>
                <w:rFonts w:hint="eastAsia" w:ascii="宋体" w:hAnsi="宋体" w:cs="宋体"/>
                <w:color w:val="auto"/>
                <w:kern w:val="0"/>
                <w:sz w:val="24"/>
              </w:rPr>
              <w:t>的不得分。</w:t>
            </w:r>
          </w:p>
          <w:p>
            <w:pPr>
              <w:rPr>
                <w:rFonts w:ascii="宋体" w:hAnsi="宋体" w:cs="宋体"/>
                <w:color w:val="auto"/>
                <w:kern w:val="0"/>
                <w:sz w:val="24"/>
              </w:rPr>
            </w:pPr>
            <w:r>
              <w:rPr>
                <w:rFonts w:hint="eastAsia" w:ascii="宋体" w:hAnsi="宋体" w:cs="宋体"/>
                <w:color w:val="auto"/>
                <w:kern w:val="0"/>
                <w:sz w:val="24"/>
              </w:rPr>
              <w:t>②</w:t>
            </w:r>
            <w:r>
              <w:rPr>
                <w:rFonts w:hint="eastAsia" w:ascii="宋体" w:hAnsi="宋体" w:cs="宋体"/>
                <w:color w:val="auto"/>
                <w:kern w:val="0"/>
                <w:sz w:val="24"/>
                <w:lang w:val="en-US" w:eastAsia="zh-CN"/>
              </w:rPr>
              <w:t>投标人提供应急方案的得基本4分，</w:t>
            </w:r>
            <w:r>
              <w:rPr>
                <w:rFonts w:hint="eastAsia" w:ascii="宋体" w:hAnsi="宋体" w:cs="宋体"/>
                <w:color w:val="auto"/>
                <w:kern w:val="0"/>
                <w:sz w:val="24"/>
              </w:rPr>
              <w:t>针对本项目突发状况应对方案，提供进度保证措施、质量保证和安全防护措施方案完善、科学合理、切实可行得</w:t>
            </w: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分，针对本项目突发状况应对方案简略、可行性一般得3-</w:t>
            </w:r>
            <w:r>
              <w:rPr>
                <w:rFonts w:hint="eastAsia" w:ascii="宋体" w:hAnsi="宋体" w:cs="宋体"/>
                <w:color w:val="auto"/>
                <w:kern w:val="0"/>
                <w:sz w:val="24"/>
                <w:lang w:val="en-US" w:eastAsia="zh-CN"/>
              </w:rPr>
              <w:t>4</w:t>
            </w:r>
            <w:r>
              <w:rPr>
                <w:rFonts w:hint="eastAsia" w:ascii="宋体" w:hAnsi="宋体" w:cs="宋体"/>
                <w:color w:val="auto"/>
                <w:kern w:val="0"/>
                <w:sz w:val="24"/>
              </w:rPr>
              <w:t>.9，针对本项目突发状况应对方案较片面的得0.1-2.9分，未提供的不得分。</w:t>
            </w:r>
          </w:p>
          <w:p>
            <w:pPr>
              <w:pStyle w:val="2"/>
              <w:ind w:firstLine="0" w:firstLineChars="0"/>
              <w:rPr>
                <w:rFonts w:ascii="宋体" w:hAnsi="宋体" w:cs="宋体"/>
                <w:color w:val="auto"/>
                <w:kern w:val="0"/>
                <w:sz w:val="24"/>
              </w:rPr>
            </w:pPr>
            <w:r>
              <w:rPr>
                <w:rFonts w:hint="eastAsia" w:ascii="宋体" w:hAnsi="宋体" w:cs="宋体"/>
                <w:color w:val="auto"/>
                <w:sz w:val="24"/>
              </w:rPr>
              <w:t>③</w:t>
            </w:r>
            <w:r>
              <w:rPr>
                <w:rFonts w:hint="eastAsia" w:ascii="宋体" w:hAnsi="宋体" w:cs="宋体"/>
                <w:color w:val="auto"/>
                <w:kern w:val="0"/>
                <w:sz w:val="24"/>
                <w:lang w:val="en-US" w:eastAsia="zh-CN"/>
              </w:rPr>
              <w:t>投标人提供设备、系统方案的的得基本4分，</w:t>
            </w:r>
            <w:r>
              <w:rPr>
                <w:rFonts w:hint="eastAsia" w:ascii="宋体" w:hAnsi="宋体" w:cs="宋体"/>
                <w:color w:val="auto"/>
                <w:sz w:val="24"/>
              </w:rPr>
              <w:t>针对本项目设备、系统平台维护措施设备齐全、方案完善、全面合理的得</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分，针对本项目设备、系统平台维护措施方案简陋、内容空缺的得0.1-</w:t>
            </w:r>
            <w:r>
              <w:rPr>
                <w:rFonts w:hint="eastAsia" w:ascii="宋体" w:hAnsi="宋体" w:cs="宋体"/>
                <w:color w:val="auto"/>
                <w:sz w:val="24"/>
                <w:lang w:val="en-US" w:eastAsia="zh-CN"/>
              </w:rPr>
              <w:t>2</w:t>
            </w:r>
            <w:r>
              <w:rPr>
                <w:rFonts w:hint="eastAsia" w:ascii="宋体" w:hAnsi="宋体" w:cs="宋体"/>
                <w:color w:val="auto"/>
                <w:sz w:val="24"/>
              </w:rPr>
              <w:t>.9分，</w:t>
            </w:r>
            <w:r>
              <w:rPr>
                <w:rFonts w:hint="eastAsia" w:ascii="宋体" w:hAnsi="宋体" w:cs="宋体"/>
                <w:color w:val="auto"/>
                <w:kern w:val="0"/>
                <w:sz w:val="24"/>
              </w:rPr>
              <w:t>未提供</w:t>
            </w:r>
            <w:r>
              <w:rPr>
                <w:rFonts w:hint="eastAsia" w:ascii="宋体" w:hAnsi="宋体" w:cs="宋体"/>
                <w:color w:val="auto"/>
                <w:kern w:val="0"/>
                <w:sz w:val="24"/>
                <w:lang w:val="en-US" w:eastAsia="zh-CN"/>
              </w:rPr>
              <w:t>方案</w:t>
            </w:r>
            <w:r>
              <w:rPr>
                <w:rFonts w:hint="eastAsia" w:ascii="宋体" w:hAnsi="宋体" w:cs="宋体"/>
                <w:color w:val="auto"/>
                <w:kern w:val="0"/>
                <w:sz w:val="24"/>
              </w:rPr>
              <w:t>的不得分</w:t>
            </w:r>
            <w:r>
              <w:rPr>
                <w:rFonts w:hint="eastAsia" w:ascii="宋体" w:hAnsi="宋体" w:cs="宋体"/>
                <w:color w:val="auto"/>
                <w:sz w:val="24"/>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5</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color w:val="auto"/>
                <w:sz w:val="24"/>
              </w:rPr>
              <w:t>售后</w:t>
            </w:r>
            <w:r>
              <w:rPr>
                <w:rFonts w:hint="eastAsia"/>
                <w:color w:val="auto"/>
                <w:sz w:val="24"/>
              </w:rPr>
              <w:t>服务</w:t>
            </w:r>
          </w:p>
        </w:tc>
        <w:tc>
          <w:tcPr>
            <w:tcW w:w="63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eastAsia="宋体"/>
                <w:color w:val="auto"/>
                <w:sz w:val="24"/>
                <w:lang w:eastAsia="zh-CN"/>
              </w:rPr>
            </w:pPr>
            <w:r>
              <w:rPr>
                <w:rFonts w:hint="eastAsia"/>
                <w:color w:val="auto"/>
                <w:sz w:val="24"/>
                <w:lang w:val="en-US" w:eastAsia="zh-CN"/>
              </w:rPr>
              <w:t>6</w:t>
            </w:r>
          </w:p>
        </w:tc>
        <w:tc>
          <w:tcPr>
            <w:tcW w:w="6169" w:type="dxa"/>
            <w:tcBorders>
              <w:top w:val="single" w:color="000000" w:sz="4" w:space="0"/>
              <w:left w:val="single" w:color="auto" w:sz="4" w:space="0"/>
              <w:bottom w:val="single" w:color="000000" w:sz="4" w:space="0"/>
              <w:right w:val="single" w:color="000000" w:sz="4" w:space="0"/>
            </w:tcBorders>
            <w:vAlign w:val="center"/>
          </w:tcPr>
          <w:p>
            <w:pPr>
              <w:rPr>
                <w:color w:val="auto"/>
                <w:sz w:val="24"/>
              </w:rPr>
            </w:pPr>
            <w:r>
              <w:rPr>
                <w:rFonts w:hint="eastAsia" w:ascii="宋体" w:hAnsi="宋体" w:cs="宋体"/>
                <w:color w:val="auto"/>
                <w:kern w:val="0"/>
                <w:sz w:val="24"/>
              </w:rPr>
              <w:t>投标人提供的售后维护人员等情况，是否拥有较强的专</w:t>
            </w:r>
            <w:r>
              <w:rPr>
                <w:rFonts w:hint="eastAsia"/>
                <w:color w:val="auto"/>
                <w:sz w:val="24"/>
              </w:rPr>
              <w:t>业技术</w:t>
            </w:r>
            <w:r>
              <w:rPr>
                <w:rFonts w:hint="eastAsia" w:ascii="宋体" w:hAnsi="宋体" w:cs="宋体"/>
                <w:color w:val="auto"/>
                <w:kern w:val="0"/>
                <w:sz w:val="24"/>
              </w:rPr>
              <w:t>队伍，能提供快速的售后服务响应，售后服务方案全面合理，服务流程及内容具体的得</w:t>
            </w:r>
            <w:r>
              <w:rPr>
                <w:rFonts w:hint="eastAsia" w:ascii="宋体" w:hAnsi="宋体" w:cs="宋体"/>
                <w:color w:val="auto"/>
                <w:kern w:val="0"/>
                <w:sz w:val="24"/>
                <w:lang w:val="en-US" w:eastAsia="zh-CN"/>
              </w:rPr>
              <w:t>5</w:t>
            </w:r>
            <w:r>
              <w:rPr>
                <w:rFonts w:hint="eastAsia" w:ascii="宋体" w:hAnsi="宋体" w:cs="宋体"/>
                <w:color w:val="auto"/>
                <w:kern w:val="0"/>
                <w:sz w:val="24"/>
              </w:rPr>
              <w:t>-</w:t>
            </w:r>
            <w:r>
              <w:rPr>
                <w:rFonts w:hint="eastAsia" w:ascii="宋体" w:hAnsi="宋体" w:cs="宋体"/>
                <w:color w:val="auto"/>
                <w:kern w:val="0"/>
                <w:sz w:val="24"/>
                <w:lang w:val="en-US" w:eastAsia="zh-CN"/>
              </w:rPr>
              <w:t>6</w:t>
            </w:r>
            <w:r>
              <w:rPr>
                <w:rFonts w:hint="eastAsia" w:ascii="宋体" w:hAnsi="宋体" w:cs="宋体"/>
                <w:color w:val="auto"/>
                <w:kern w:val="0"/>
                <w:sz w:val="24"/>
              </w:rPr>
              <w:t>分，售后服务方案较片面，服务流程及内容空洞或欠缺的得 3-</w:t>
            </w:r>
            <w:r>
              <w:rPr>
                <w:rFonts w:hint="eastAsia" w:ascii="宋体" w:hAnsi="宋体" w:cs="宋体"/>
                <w:color w:val="auto"/>
                <w:kern w:val="0"/>
                <w:sz w:val="24"/>
                <w:lang w:val="en-US" w:eastAsia="zh-CN"/>
              </w:rPr>
              <w:t>4</w:t>
            </w:r>
            <w:r>
              <w:rPr>
                <w:rFonts w:hint="eastAsia" w:ascii="宋体" w:hAnsi="宋体" w:cs="宋体"/>
                <w:color w:val="auto"/>
                <w:kern w:val="0"/>
                <w:sz w:val="24"/>
              </w:rPr>
              <w:t>.9分，售后服务方案较一般，不合理的得0.1-2.9分， 未提供</w:t>
            </w:r>
            <w:r>
              <w:rPr>
                <w:rFonts w:hint="eastAsia" w:ascii="宋体" w:hAnsi="宋体" w:cs="宋体"/>
                <w:color w:val="auto"/>
                <w:kern w:val="0"/>
                <w:sz w:val="24"/>
                <w:lang w:val="en-US" w:eastAsia="zh-CN"/>
              </w:rPr>
              <w:t>方案</w:t>
            </w:r>
            <w:r>
              <w:rPr>
                <w:rFonts w:hint="eastAsia" w:ascii="宋体" w:hAnsi="宋体" w:cs="宋体"/>
                <w:color w:val="auto"/>
                <w:kern w:val="0"/>
                <w:sz w:val="24"/>
              </w:rPr>
              <w:t>的不得分。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536"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rPr>
            </w:pPr>
            <w:r>
              <w:rPr>
                <w:rFonts w:hint="eastAsia"/>
                <w:color w:val="auto"/>
                <w:sz w:val="24"/>
              </w:rPr>
              <w:t>6</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color w:val="auto"/>
                <w:sz w:val="24"/>
              </w:rPr>
              <w:t>诚信投标</w:t>
            </w:r>
          </w:p>
        </w:tc>
        <w:tc>
          <w:tcPr>
            <w:tcW w:w="633" w:type="dxa"/>
            <w:tcBorders>
              <w:top w:val="single" w:color="auto" w:sz="4" w:space="0"/>
              <w:left w:val="single" w:color="auto" w:sz="4" w:space="0"/>
              <w:bottom w:val="single" w:color="auto" w:sz="4" w:space="0"/>
              <w:right w:val="single" w:color="auto" w:sz="4" w:space="0"/>
            </w:tcBorders>
            <w:noWrap/>
            <w:vAlign w:val="center"/>
          </w:tcPr>
          <w:p>
            <w:pPr>
              <w:jc w:val="center"/>
              <w:rPr>
                <w:color w:val="auto"/>
                <w:sz w:val="24"/>
              </w:rPr>
            </w:pPr>
            <w:r>
              <w:rPr>
                <w:rFonts w:hint="eastAsia"/>
                <w:color w:val="auto"/>
                <w:sz w:val="24"/>
              </w:rPr>
              <w:t>1</w:t>
            </w:r>
          </w:p>
        </w:tc>
        <w:tc>
          <w:tcPr>
            <w:tcW w:w="6169" w:type="dxa"/>
            <w:tcBorders>
              <w:top w:val="single" w:color="000000" w:sz="4" w:space="0"/>
              <w:left w:val="single" w:color="auto" w:sz="4" w:space="0"/>
              <w:bottom w:val="single" w:color="000000" w:sz="4" w:space="0"/>
              <w:right w:val="single" w:color="000000" w:sz="4" w:space="0"/>
            </w:tcBorders>
            <w:vAlign w:val="center"/>
          </w:tcPr>
          <w:p>
            <w:pPr>
              <w:rPr>
                <w:color w:val="auto"/>
                <w:sz w:val="24"/>
              </w:rPr>
            </w:pPr>
            <w:r>
              <w:rPr>
                <w:rFonts w:hint="eastAsia"/>
                <w:color w:val="auto"/>
                <w:sz w:val="24"/>
              </w:rPr>
              <w:t>投标人提交签署并盖章《盐城市大丰区政府招标采购供应商承诺书》原件的得1分；没有提供的不得分。</w:t>
            </w:r>
          </w:p>
        </w:tc>
      </w:tr>
      <w:bookmarkEnd w:id="479"/>
      <w:bookmarkEnd w:id="480"/>
      <w:bookmarkEnd w:id="481"/>
      <w:bookmarkEnd w:id="482"/>
    </w:tbl>
    <w:p>
      <w:pPr>
        <w:pStyle w:val="4"/>
        <w:spacing w:line="400" w:lineRule="exact"/>
        <w:rPr>
          <w:rFonts w:ascii="宋体" w:hAnsi="宋体" w:eastAsia="宋体" w:cs="宋体"/>
          <w:color w:val="auto"/>
          <w:sz w:val="24"/>
          <w:szCs w:val="24"/>
        </w:rPr>
      </w:pPr>
      <w:bookmarkStart w:id="483" w:name="_Toc21618"/>
      <w:bookmarkStart w:id="484" w:name="_Toc511142498"/>
      <w:bookmarkStart w:id="485" w:name="_Toc397928605"/>
      <w:bookmarkStart w:id="486" w:name="_Toc22532"/>
      <w:bookmarkStart w:id="487" w:name="_Toc23386"/>
      <w:bookmarkStart w:id="488" w:name="_Toc25437"/>
      <w:bookmarkStart w:id="489" w:name="_Toc28734"/>
      <w:bookmarkStart w:id="490" w:name="_Toc184635095"/>
      <w:r>
        <w:rPr>
          <w:rFonts w:hint="eastAsia" w:ascii="宋体" w:hAnsi="宋体" w:eastAsia="宋体" w:cs="宋体"/>
          <w:color w:val="auto"/>
        </w:rPr>
        <w:t>3． 评标程序</w:t>
      </w:r>
      <w:bookmarkEnd w:id="483"/>
      <w:bookmarkEnd w:id="484"/>
      <w:bookmarkEnd w:id="485"/>
      <w:bookmarkEnd w:id="486"/>
      <w:bookmarkEnd w:id="487"/>
      <w:bookmarkEnd w:id="488"/>
      <w:bookmarkEnd w:id="489"/>
      <w:bookmarkEnd w:id="490"/>
    </w:p>
    <w:p>
      <w:pPr>
        <w:pStyle w:val="5"/>
        <w:spacing w:line="400" w:lineRule="exact"/>
        <w:ind w:firstLine="118"/>
        <w:rPr>
          <w:rFonts w:ascii="宋体" w:hAnsi="宋体" w:eastAsia="宋体" w:cs="宋体"/>
          <w:color w:val="auto"/>
          <w:szCs w:val="24"/>
        </w:rPr>
      </w:pPr>
      <w:bookmarkStart w:id="491" w:name="_Toc25815"/>
      <w:bookmarkStart w:id="492" w:name="_Toc22907"/>
      <w:bookmarkStart w:id="493" w:name="_Toc397928606"/>
      <w:bookmarkStart w:id="494" w:name="_Toc32373"/>
      <w:bookmarkStart w:id="495" w:name="_Toc511142499"/>
      <w:bookmarkStart w:id="496" w:name="_Toc10929"/>
      <w:bookmarkStart w:id="497" w:name="_Toc20580"/>
      <w:r>
        <w:rPr>
          <w:rFonts w:hint="eastAsia" w:ascii="宋体" w:hAnsi="宋体" w:eastAsia="宋体" w:cs="宋体"/>
          <w:color w:val="auto"/>
          <w:kern w:val="0"/>
          <w:szCs w:val="24"/>
        </w:rPr>
        <w:t>3.1 评标准备</w:t>
      </w:r>
      <w:bookmarkEnd w:id="491"/>
      <w:bookmarkEnd w:id="492"/>
      <w:bookmarkEnd w:id="493"/>
      <w:bookmarkEnd w:id="494"/>
      <w:bookmarkEnd w:id="495"/>
      <w:bookmarkEnd w:id="496"/>
      <w:bookmarkEnd w:id="497"/>
    </w:p>
    <w:p>
      <w:pPr>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3.1.1 评标委员会成员到达评标现场时应在签到表上签到（或通过门禁系统签到）以证明其出席。</w:t>
      </w:r>
    </w:p>
    <w:p>
      <w:pPr>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3.1.2 评标委员会成员首先推选一名评标委员会负责人，负责评标活动的组织领导工作。</w:t>
      </w:r>
    </w:p>
    <w:p>
      <w:pPr>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3.1.3 招标人或招标代理机构应向评标委员会提供评标所需的信息和数据。评标委员会负责人应组织评标委员会成员认真研究招标文件，未在招标文件中规定的标准和方法不得作为评标的依据。</w:t>
      </w:r>
    </w:p>
    <w:p>
      <w:pPr>
        <w:pStyle w:val="5"/>
        <w:spacing w:line="400" w:lineRule="exact"/>
        <w:ind w:firstLine="118"/>
        <w:rPr>
          <w:rFonts w:ascii="宋体" w:hAnsi="宋体" w:eastAsia="宋体" w:cs="宋体"/>
          <w:color w:val="auto"/>
          <w:szCs w:val="24"/>
        </w:rPr>
      </w:pPr>
      <w:bookmarkStart w:id="498" w:name="_Toc397928607"/>
      <w:bookmarkStart w:id="499" w:name="_Toc13573"/>
      <w:bookmarkStart w:id="500" w:name="_Toc6331"/>
      <w:bookmarkStart w:id="501" w:name="_Toc29134"/>
      <w:bookmarkStart w:id="502" w:name="_Toc18479"/>
      <w:bookmarkStart w:id="503" w:name="_Toc17598"/>
      <w:bookmarkStart w:id="504" w:name="_Toc511142500"/>
      <w:r>
        <w:rPr>
          <w:rFonts w:hint="eastAsia" w:ascii="宋体" w:hAnsi="宋体" w:eastAsia="宋体" w:cs="宋体"/>
          <w:color w:val="auto"/>
          <w:szCs w:val="24"/>
        </w:rPr>
        <w:t>3.2 初步评审</w:t>
      </w:r>
      <w:bookmarkEnd w:id="498"/>
      <w:bookmarkEnd w:id="499"/>
      <w:bookmarkEnd w:id="500"/>
      <w:bookmarkEnd w:id="501"/>
      <w:bookmarkEnd w:id="502"/>
      <w:bookmarkEnd w:id="503"/>
      <w:bookmarkEnd w:id="504"/>
    </w:p>
    <w:p>
      <w:pPr>
        <w:spacing w:line="400" w:lineRule="exact"/>
        <w:ind w:firstLine="480" w:firstLineChars="200"/>
        <w:rPr>
          <w:rFonts w:ascii="宋体" w:hAnsi="宋体" w:cs="宋体"/>
          <w:color w:val="auto"/>
          <w:sz w:val="24"/>
        </w:rPr>
      </w:pPr>
      <w:r>
        <w:rPr>
          <w:rFonts w:hint="eastAsia" w:ascii="宋体" w:hAnsi="宋体" w:cs="宋体"/>
          <w:color w:val="auto"/>
          <w:sz w:val="24"/>
        </w:rPr>
        <w:t>3.2.1评标委员会依据本章第2.1 款规定的标准对投标文件进行初步评审。</w:t>
      </w:r>
    </w:p>
    <w:p>
      <w:pPr>
        <w:spacing w:line="400" w:lineRule="exact"/>
        <w:ind w:firstLine="480" w:firstLineChars="200"/>
        <w:rPr>
          <w:rFonts w:ascii="宋体" w:hAnsi="宋体" w:cs="宋体"/>
          <w:color w:val="auto"/>
          <w:sz w:val="24"/>
        </w:rPr>
      </w:pPr>
      <w:r>
        <w:rPr>
          <w:rFonts w:hint="eastAsia" w:ascii="宋体" w:hAnsi="宋体" w:cs="宋体"/>
          <w:color w:val="auto"/>
          <w:sz w:val="24"/>
        </w:rPr>
        <w:t>3.2.2投标文件不符合本章第2.1款评审标准的，属于重大偏差，视为未能对招标文件作出实质性响应，应当作为无效投标予以否决。</w:t>
      </w:r>
    </w:p>
    <w:p>
      <w:pPr>
        <w:spacing w:line="400" w:lineRule="exact"/>
        <w:ind w:firstLine="480" w:firstLineChars="200"/>
        <w:rPr>
          <w:rFonts w:ascii="宋体" w:hAnsi="宋体" w:cs="宋体"/>
          <w:color w:val="auto"/>
          <w:sz w:val="24"/>
        </w:rPr>
      </w:pPr>
      <w:r>
        <w:rPr>
          <w:rFonts w:hint="eastAsia" w:ascii="宋体" w:hAnsi="宋体" w:cs="宋体"/>
          <w:color w:val="auto"/>
          <w:sz w:val="24"/>
        </w:rPr>
        <w:t>3.2.3对照投标人须知6.5款，投标文件有上述情况之一，视为未能对招标文件作出实质性响应，凡招标文件未明确标明无效标条款的，评标委员会不得作为判定无效投标的依据。</w:t>
      </w:r>
    </w:p>
    <w:p>
      <w:pPr>
        <w:spacing w:line="400" w:lineRule="exact"/>
        <w:ind w:firstLine="480" w:firstLineChars="200"/>
        <w:rPr>
          <w:rFonts w:ascii="宋体" w:hAnsi="宋体" w:cs="宋体"/>
          <w:color w:val="auto"/>
          <w:sz w:val="24"/>
        </w:rPr>
      </w:pPr>
      <w:r>
        <w:rPr>
          <w:rFonts w:hint="eastAsia" w:ascii="宋体" w:hAnsi="宋体" w:cs="宋体"/>
          <w:color w:val="auto"/>
          <w:sz w:val="24"/>
        </w:rPr>
        <w:t>3.2.4 投标报价有算术错误的，评标委员会按以下原则对投标报价进行修正，修正的价格经投标人书面确认后具有约束力。</w:t>
      </w:r>
    </w:p>
    <w:p>
      <w:pPr>
        <w:spacing w:line="400" w:lineRule="exact"/>
        <w:ind w:firstLine="480" w:firstLineChars="200"/>
        <w:rPr>
          <w:rFonts w:ascii="宋体" w:hAnsi="宋体" w:cs="宋体"/>
          <w:color w:val="auto"/>
          <w:sz w:val="24"/>
        </w:rPr>
      </w:pPr>
      <w:r>
        <w:rPr>
          <w:rFonts w:hint="eastAsia" w:ascii="宋体" w:hAnsi="宋体" w:cs="宋体"/>
          <w:color w:val="auto"/>
          <w:sz w:val="24"/>
        </w:rPr>
        <w:t>(1）投标文件中的大写金额与小写金额不一致的，以大写金额为准；</w:t>
      </w:r>
    </w:p>
    <w:p>
      <w:pPr>
        <w:spacing w:line="400" w:lineRule="exact"/>
        <w:ind w:firstLine="480" w:firstLineChars="200"/>
        <w:rPr>
          <w:rFonts w:ascii="宋体" w:hAnsi="宋体" w:cs="宋体"/>
          <w:color w:val="auto"/>
          <w:sz w:val="24"/>
        </w:rPr>
      </w:pPr>
      <w:r>
        <w:rPr>
          <w:rFonts w:hint="eastAsia" w:ascii="宋体" w:hAnsi="宋体" w:cs="宋体"/>
          <w:color w:val="auto"/>
          <w:sz w:val="24"/>
        </w:rPr>
        <w:t>(2）总价金额与依据单价计算出的结果不一致的，以单价金额为准修正总价，但单价金额小数点有明显错误的除外。</w:t>
      </w:r>
    </w:p>
    <w:p>
      <w:pPr>
        <w:spacing w:line="400" w:lineRule="exact"/>
        <w:ind w:firstLine="480" w:firstLineChars="200"/>
        <w:rPr>
          <w:rFonts w:ascii="宋体" w:hAnsi="宋体" w:cs="宋体"/>
          <w:color w:val="auto"/>
          <w:sz w:val="24"/>
        </w:rPr>
      </w:pPr>
      <w:r>
        <w:rPr>
          <w:rFonts w:hint="eastAsia" w:ascii="宋体" w:hAnsi="宋体" w:cs="宋体"/>
          <w:color w:val="auto"/>
          <w:sz w:val="24"/>
        </w:rPr>
        <w:t>3.2.5只有通过初步评审的投标文件才能进入详细评审。</w:t>
      </w:r>
    </w:p>
    <w:p>
      <w:pPr>
        <w:pStyle w:val="5"/>
        <w:spacing w:line="400" w:lineRule="exact"/>
        <w:ind w:firstLine="118"/>
        <w:rPr>
          <w:rFonts w:ascii="宋体" w:hAnsi="宋体" w:eastAsia="宋体" w:cs="宋体"/>
          <w:color w:val="auto"/>
          <w:szCs w:val="24"/>
        </w:rPr>
      </w:pPr>
      <w:bookmarkStart w:id="505" w:name="_Toc9167"/>
      <w:bookmarkStart w:id="506" w:name="_Toc29169"/>
      <w:bookmarkStart w:id="507" w:name="_Toc7015"/>
      <w:bookmarkStart w:id="508" w:name="_Toc397928608"/>
      <w:bookmarkStart w:id="509" w:name="_Toc30894"/>
      <w:bookmarkStart w:id="510" w:name="_Toc7389"/>
      <w:bookmarkStart w:id="511" w:name="_Toc511142501"/>
      <w:r>
        <w:rPr>
          <w:rFonts w:hint="eastAsia" w:ascii="宋体" w:hAnsi="宋体" w:eastAsia="宋体" w:cs="宋体"/>
          <w:color w:val="auto"/>
          <w:szCs w:val="24"/>
        </w:rPr>
        <w:t>3.3 详细评审</w:t>
      </w:r>
      <w:bookmarkEnd w:id="505"/>
      <w:bookmarkEnd w:id="506"/>
      <w:bookmarkEnd w:id="507"/>
      <w:bookmarkEnd w:id="508"/>
      <w:bookmarkEnd w:id="509"/>
      <w:bookmarkEnd w:id="510"/>
      <w:bookmarkEnd w:id="511"/>
    </w:p>
    <w:p>
      <w:pPr>
        <w:spacing w:line="400" w:lineRule="exact"/>
        <w:ind w:firstLine="480" w:firstLineChars="200"/>
        <w:rPr>
          <w:rFonts w:ascii="宋体" w:hAnsi="宋体" w:cs="宋体"/>
          <w:color w:val="auto"/>
          <w:sz w:val="24"/>
        </w:rPr>
      </w:pPr>
      <w:r>
        <w:rPr>
          <w:rFonts w:hint="eastAsia" w:ascii="宋体" w:hAnsi="宋体" w:cs="宋体"/>
          <w:color w:val="auto"/>
          <w:sz w:val="24"/>
        </w:rPr>
        <w:t>3.3.1 在详细评审发现符合“无效标书条款”的，应当作为无效投标予以否决，其投标报价亦不作为评标基准价A值的依据。</w:t>
      </w:r>
    </w:p>
    <w:p>
      <w:pPr>
        <w:spacing w:line="400" w:lineRule="exact"/>
        <w:ind w:firstLine="480" w:firstLineChars="200"/>
        <w:rPr>
          <w:rFonts w:ascii="宋体" w:hAnsi="宋体" w:cs="宋体"/>
          <w:color w:val="auto"/>
          <w:sz w:val="24"/>
        </w:rPr>
      </w:pPr>
      <w:r>
        <w:rPr>
          <w:rFonts w:hint="eastAsia" w:ascii="宋体" w:hAnsi="宋体" w:cs="宋体"/>
          <w:color w:val="auto"/>
          <w:sz w:val="24"/>
        </w:rPr>
        <w:t>3.3.2 评标委员会按本章第2.2款规定的量化因素和分值进行打分，并计算出综合评估得分。</w:t>
      </w:r>
    </w:p>
    <w:p>
      <w:pPr>
        <w:spacing w:line="400" w:lineRule="exact"/>
        <w:ind w:firstLine="480" w:firstLineChars="200"/>
        <w:rPr>
          <w:rFonts w:ascii="宋体" w:hAnsi="宋体" w:cs="宋体"/>
          <w:color w:val="auto"/>
          <w:sz w:val="24"/>
        </w:rPr>
      </w:pPr>
      <w:r>
        <w:rPr>
          <w:rFonts w:hint="eastAsia" w:ascii="宋体" w:hAnsi="宋体" w:cs="宋体"/>
          <w:color w:val="auto"/>
          <w:sz w:val="24"/>
        </w:rPr>
        <w:t>3.3.3 评分分值计算保留小数点后两位，小数点后第三位“四舍五入”。</w:t>
      </w:r>
    </w:p>
    <w:p>
      <w:pPr>
        <w:pStyle w:val="5"/>
        <w:spacing w:line="400" w:lineRule="exact"/>
        <w:ind w:firstLine="118"/>
        <w:rPr>
          <w:rFonts w:ascii="宋体" w:hAnsi="宋体" w:eastAsia="宋体" w:cs="宋体"/>
          <w:color w:val="auto"/>
          <w:szCs w:val="24"/>
        </w:rPr>
      </w:pPr>
      <w:bookmarkStart w:id="512" w:name="_Toc397928609"/>
      <w:bookmarkStart w:id="513" w:name="_Toc511142502"/>
      <w:bookmarkStart w:id="514" w:name="_Toc12471"/>
      <w:bookmarkStart w:id="515" w:name="_Toc19538"/>
      <w:bookmarkStart w:id="516" w:name="_Toc28056"/>
      <w:bookmarkStart w:id="517" w:name="_Toc19622"/>
      <w:bookmarkStart w:id="518" w:name="_Toc5826"/>
      <w:r>
        <w:rPr>
          <w:rFonts w:hint="eastAsia" w:ascii="宋体" w:hAnsi="宋体" w:eastAsia="宋体" w:cs="宋体"/>
          <w:color w:val="auto"/>
          <w:szCs w:val="24"/>
        </w:rPr>
        <w:t>3.4 投标文件的澄清和补正</w:t>
      </w:r>
      <w:bookmarkEnd w:id="512"/>
      <w:bookmarkEnd w:id="513"/>
      <w:bookmarkEnd w:id="514"/>
      <w:bookmarkEnd w:id="515"/>
      <w:bookmarkEnd w:id="516"/>
      <w:bookmarkEnd w:id="517"/>
      <w:bookmarkEnd w:id="518"/>
    </w:p>
    <w:p>
      <w:pPr>
        <w:spacing w:line="400" w:lineRule="exact"/>
        <w:ind w:firstLine="480" w:firstLineChars="200"/>
        <w:rPr>
          <w:rFonts w:ascii="宋体" w:hAnsi="宋体" w:cs="宋体"/>
          <w:color w:val="auto"/>
          <w:sz w:val="24"/>
        </w:rPr>
      </w:pPr>
      <w:r>
        <w:rPr>
          <w:rFonts w:hint="eastAsia" w:ascii="宋体" w:hAnsi="宋体" w:cs="宋体"/>
          <w:color w:val="auto"/>
          <w:sz w:val="24"/>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80" w:firstLineChars="200"/>
        <w:rPr>
          <w:rFonts w:ascii="宋体" w:hAnsi="宋体" w:cs="宋体"/>
          <w:color w:val="auto"/>
          <w:sz w:val="24"/>
        </w:rPr>
      </w:pPr>
      <w:r>
        <w:rPr>
          <w:rFonts w:hint="eastAsia" w:ascii="宋体" w:hAnsi="宋体" w:cs="宋体"/>
          <w:color w:val="auto"/>
          <w:sz w:val="24"/>
        </w:rPr>
        <w:t>3.4.2 澄清、说明和补正不得改变投标文件的实质性内容（算术性错误修正的除外）。投标人的</w:t>
      </w:r>
    </w:p>
    <w:p>
      <w:pPr>
        <w:spacing w:line="400" w:lineRule="exact"/>
        <w:rPr>
          <w:rFonts w:ascii="宋体" w:hAnsi="宋体" w:cs="宋体"/>
          <w:color w:val="auto"/>
          <w:sz w:val="24"/>
        </w:rPr>
      </w:pPr>
      <w:r>
        <w:rPr>
          <w:rFonts w:hint="eastAsia" w:ascii="宋体" w:hAnsi="宋体" w:cs="宋体"/>
          <w:color w:val="auto"/>
          <w:sz w:val="24"/>
        </w:rPr>
        <w:t>书面澄清、说明和补正属于投标文件的组成部分。</w:t>
      </w:r>
    </w:p>
    <w:p>
      <w:pPr>
        <w:spacing w:line="400" w:lineRule="exact"/>
        <w:ind w:firstLine="480" w:firstLineChars="200"/>
        <w:rPr>
          <w:rFonts w:ascii="宋体" w:hAnsi="宋体" w:cs="宋体"/>
          <w:color w:val="auto"/>
          <w:sz w:val="24"/>
        </w:rPr>
      </w:pPr>
      <w:r>
        <w:rPr>
          <w:rFonts w:hint="eastAsia" w:ascii="宋体" w:hAnsi="宋体" w:cs="宋体"/>
          <w:color w:val="auto"/>
          <w:sz w:val="24"/>
        </w:rPr>
        <w:t>3.4.3 评标委员会对投标人提交的澄清、说明或补正有疑问的，可以要求投标人进一步澄清、说明或补正。</w:t>
      </w:r>
    </w:p>
    <w:p>
      <w:pPr>
        <w:pStyle w:val="5"/>
        <w:spacing w:line="400" w:lineRule="exact"/>
        <w:ind w:firstLine="118"/>
        <w:rPr>
          <w:rFonts w:ascii="宋体" w:hAnsi="宋体" w:eastAsia="宋体" w:cs="宋体"/>
          <w:b/>
          <w:color w:val="auto"/>
          <w:kern w:val="0"/>
          <w:szCs w:val="24"/>
        </w:rPr>
      </w:pPr>
      <w:bookmarkStart w:id="519" w:name="_Toc20896"/>
      <w:bookmarkStart w:id="520" w:name="_Toc3092"/>
      <w:bookmarkStart w:id="521" w:name="_Toc29288"/>
      <w:bookmarkStart w:id="522" w:name="_Toc511142503"/>
      <w:bookmarkStart w:id="523" w:name="_Toc4831"/>
      <w:bookmarkStart w:id="524" w:name="_Toc397928610"/>
      <w:bookmarkStart w:id="525" w:name="_Toc22666"/>
      <w:r>
        <w:rPr>
          <w:rFonts w:hint="eastAsia" w:ascii="宋体" w:hAnsi="宋体" w:eastAsia="宋体" w:cs="宋体"/>
          <w:color w:val="auto"/>
          <w:szCs w:val="24"/>
        </w:rPr>
        <w:t>3.5 推荐中标候选人或直接确定中标人</w:t>
      </w:r>
      <w:bookmarkEnd w:id="519"/>
      <w:bookmarkEnd w:id="520"/>
      <w:bookmarkEnd w:id="521"/>
      <w:bookmarkEnd w:id="522"/>
      <w:bookmarkEnd w:id="523"/>
      <w:bookmarkEnd w:id="524"/>
      <w:bookmarkEnd w:id="525"/>
    </w:p>
    <w:p>
      <w:pPr>
        <w:autoSpaceDE w:val="0"/>
        <w:autoSpaceDN w:val="0"/>
        <w:spacing w:line="400" w:lineRule="exact"/>
        <w:ind w:firstLine="480" w:firstLineChars="200"/>
        <w:jc w:val="left"/>
        <w:rPr>
          <w:rFonts w:ascii="宋体" w:hAnsi="宋体" w:cs="宋体"/>
          <w:color w:val="auto"/>
          <w:kern w:val="0"/>
          <w:sz w:val="24"/>
        </w:rPr>
      </w:pPr>
      <w:r>
        <w:rPr>
          <w:rFonts w:hint="eastAsia" w:ascii="宋体" w:hAnsi="宋体" w:cs="宋体"/>
          <w:color w:val="auto"/>
          <w:kern w:val="0"/>
          <w:sz w:val="24"/>
        </w:rPr>
        <w:t>3.5.1 除投标人须知前附表授权直接确定中标人外，评标委员会在推荐中标候选人时，应遵照以下原则:</w:t>
      </w:r>
    </w:p>
    <w:p>
      <w:pPr>
        <w:autoSpaceDE w:val="0"/>
        <w:autoSpaceDN w:val="0"/>
        <w:spacing w:line="380" w:lineRule="exact"/>
        <w:ind w:firstLine="480" w:firstLineChars="200"/>
        <w:jc w:val="left"/>
        <w:rPr>
          <w:rFonts w:ascii="宋体" w:hAnsi="宋体" w:cs="宋体"/>
          <w:color w:val="auto"/>
          <w:kern w:val="0"/>
          <w:sz w:val="24"/>
        </w:rPr>
      </w:pPr>
      <w:r>
        <w:rPr>
          <w:rFonts w:hint="eastAsia" w:ascii="宋体" w:hAnsi="宋体" w:cs="宋体"/>
          <w:color w:val="auto"/>
          <w:kern w:val="0"/>
          <w:sz w:val="24"/>
        </w:rPr>
        <w:t>评标委员会按照最终得分由高至低的次序排列，推荐1名中标候选人，将排序在前的投标人推荐为中标候选人。</w:t>
      </w:r>
    </w:p>
    <w:p>
      <w:pPr>
        <w:pStyle w:val="5"/>
        <w:spacing w:line="380" w:lineRule="exact"/>
        <w:ind w:firstLine="118"/>
        <w:rPr>
          <w:rFonts w:ascii="宋体" w:hAnsi="宋体" w:eastAsia="宋体" w:cs="宋体"/>
          <w:color w:val="auto"/>
          <w:szCs w:val="24"/>
        </w:rPr>
      </w:pPr>
      <w:bookmarkStart w:id="526" w:name="_Toc397928611"/>
      <w:bookmarkStart w:id="527" w:name="_Toc15971"/>
      <w:bookmarkStart w:id="528" w:name="_Toc3954"/>
      <w:bookmarkStart w:id="529" w:name="_Toc19454"/>
      <w:bookmarkStart w:id="530" w:name="_Toc511142504"/>
      <w:bookmarkStart w:id="531" w:name="_Toc12164"/>
      <w:r>
        <w:rPr>
          <w:rFonts w:hint="eastAsia" w:ascii="宋体" w:hAnsi="宋体" w:eastAsia="宋体" w:cs="宋体"/>
          <w:color w:val="auto"/>
          <w:szCs w:val="24"/>
        </w:rPr>
        <w:t>3.6 提交评标报告</w:t>
      </w:r>
      <w:bookmarkEnd w:id="526"/>
      <w:bookmarkEnd w:id="527"/>
      <w:bookmarkEnd w:id="528"/>
      <w:bookmarkEnd w:id="529"/>
      <w:bookmarkEnd w:id="530"/>
      <w:bookmarkEnd w:id="531"/>
      <w:r>
        <w:rPr>
          <w:rFonts w:hint="eastAsia" w:ascii="宋体" w:hAnsi="宋体" w:eastAsia="宋体" w:cs="宋体"/>
          <w:color w:val="auto"/>
          <w:szCs w:val="24"/>
        </w:rPr>
        <w:t xml:space="preserve"> </w:t>
      </w:r>
    </w:p>
    <w:p>
      <w:pPr>
        <w:autoSpaceDE w:val="0"/>
        <w:autoSpaceDN w:val="0"/>
        <w:spacing w:line="380" w:lineRule="exact"/>
        <w:ind w:firstLine="480" w:firstLineChars="200"/>
        <w:jc w:val="left"/>
        <w:rPr>
          <w:rFonts w:ascii="宋体" w:hAnsi="宋体" w:cs="宋体"/>
          <w:color w:val="auto"/>
          <w:kern w:val="0"/>
          <w:sz w:val="24"/>
        </w:rPr>
      </w:pPr>
      <w:r>
        <w:rPr>
          <w:rFonts w:hint="eastAsia" w:ascii="宋体" w:hAnsi="宋体" w:cs="宋体"/>
          <w:color w:val="auto"/>
          <w:kern w:val="0"/>
          <w:sz w:val="24"/>
        </w:rPr>
        <w:t>评标委员会完成评标后，应当向招标人提交书面评标报告。评标报告应当由全体评标委员会成员签字，并于评标结束时抄送有关行政监督部门。</w:t>
      </w:r>
    </w:p>
    <w:p>
      <w:pPr>
        <w:pStyle w:val="4"/>
        <w:spacing w:line="380" w:lineRule="exact"/>
        <w:rPr>
          <w:rFonts w:ascii="宋体" w:hAnsi="宋体" w:eastAsia="宋体" w:cs="宋体"/>
          <w:color w:val="auto"/>
        </w:rPr>
      </w:pPr>
      <w:bookmarkStart w:id="532" w:name="_Toc28738"/>
      <w:bookmarkStart w:id="533" w:name="_Toc511142505"/>
      <w:bookmarkStart w:id="534" w:name="_Toc18933"/>
      <w:bookmarkStart w:id="535" w:name="_Toc3738"/>
      <w:bookmarkStart w:id="536" w:name="_Toc12773"/>
      <w:r>
        <w:rPr>
          <w:rFonts w:hint="eastAsia" w:ascii="宋体" w:hAnsi="宋体" w:eastAsia="宋体" w:cs="宋体"/>
          <w:color w:val="auto"/>
        </w:rPr>
        <w:t>4． 通用评标规则</w:t>
      </w:r>
      <w:bookmarkEnd w:id="532"/>
      <w:bookmarkEnd w:id="533"/>
      <w:bookmarkEnd w:id="534"/>
      <w:bookmarkEnd w:id="535"/>
      <w:bookmarkEnd w:id="536"/>
    </w:p>
    <w:p>
      <w:pPr>
        <w:pStyle w:val="5"/>
        <w:spacing w:line="380" w:lineRule="exact"/>
        <w:ind w:firstLine="118"/>
        <w:rPr>
          <w:rFonts w:ascii="宋体" w:hAnsi="宋体" w:eastAsia="宋体" w:cs="宋体"/>
          <w:color w:val="auto"/>
          <w:szCs w:val="24"/>
        </w:rPr>
      </w:pPr>
      <w:bookmarkStart w:id="537" w:name="_Toc15894"/>
      <w:bookmarkStart w:id="538" w:name="_Toc2429"/>
      <w:bookmarkStart w:id="539" w:name="_Toc7262"/>
      <w:bookmarkStart w:id="540" w:name="_Toc29375"/>
      <w:bookmarkStart w:id="541" w:name="_Toc511142506"/>
      <w:r>
        <w:rPr>
          <w:rFonts w:hint="eastAsia" w:ascii="宋体" w:hAnsi="宋体" w:eastAsia="宋体" w:cs="宋体"/>
          <w:color w:val="auto"/>
          <w:szCs w:val="24"/>
        </w:rPr>
        <w:t>4.1 评标程序</w:t>
      </w:r>
      <w:bookmarkEnd w:id="537"/>
      <w:bookmarkEnd w:id="538"/>
      <w:bookmarkEnd w:id="539"/>
      <w:bookmarkEnd w:id="540"/>
      <w:bookmarkEnd w:id="541"/>
    </w:p>
    <w:p>
      <w:pPr>
        <w:snapToGrid w:val="0"/>
        <w:spacing w:line="380" w:lineRule="exact"/>
        <w:ind w:firstLine="480" w:firstLineChars="200"/>
        <w:rPr>
          <w:rFonts w:ascii="宋体" w:hAnsi="宋体" w:cs="宋体"/>
          <w:color w:val="auto"/>
          <w:kern w:val="0"/>
          <w:sz w:val="24"/>
        </w:rPr>
      </w:pPr>
      <w:r>
        <w:rPr>
          <w:rFonts w:hint="eastAsia" w:ascii="宋体" w:hAnsi="宋体" w:cs="宋体"/>
          <w:color w:val="auto"/>
          <w:kern w:val="0"/>
          <w:sz w:val="24"/>
        </w:rPr>
        <w:t>资质标、商务标、技术标应分别评审，评审后不得更改。</w:t>
      </w:r>
    </w:p>
    <w:p>
      <w:pPr>
        <w:pStyle w:val="5"/>
        <w:spacing w:line="380" w:lineRule="exact"/>
        <w:ind w:firstLine="118"/>
        <w:rPr>
          <w:rFonts w:ascii="宋体" w:hAnsi="宋体" w:eastAsia="宋体" w:cs="宋体"/>
          <w:color w:val="auto"/>
          <w:szCs w:val="24"/>
        </w:rPr>
      </w:pPr>
      <w:bookmarkStart w:id="542" w:name="_Toc17361"/>
      <w:bookmarkStart w:id="543" w:name="_Toc511142507"/>
      <w:bookmarkStart w:id="544" w:name="_Toc17844"/>
      <w:bookmarkStart w:id="545" w:name="_Toc17114"/>
      <w:bookmarkStart w:id="546" w:name="_Toc4949"/>
      <w:r>
        <w:rPr>
          <w:rFonts w:hint="eastAsia" w:ascii="宋体" w:hAnsi="宋体" w:eastAsia="宋体" w:cs="宋体"/>
          <w:color w:val="auto"/>
          <w:szCs w:val="24"/>
        </w:rPr>
        <w:t>4.2不规范标书</w:t>
      </w:r>
      <w:bookmarkEnd w:id="542"/>
      <w:bookmarkEnd w:id="543"/>
      <w:bookmarkEnd w:id="544"/>
      <w:bookmarkEnd w:id="545"/>
      <w:bookmarkEnd w:id="546"/>
    </w:p>
    <w:p>
      <w:pPr>
        <w:snapToGrid w:val="0"/>
        <w:spacing w:line="380" w:lineRule="exact"/>
        <w:ind w:firstLine="480" w:firstLineChars="200"/>
        <w:rPr>
          <w:rFonts w:ascii="宋体" w:hAnsi="宋体" w:cs="宋体"/>
          <w:color w:val="auto"/>
          <w:kern w:val="0"/>
          <w:sz w:val="24"/>
        </w:rPr>
      </w:pPr>
      <w:r>
        <w:rPr>
          <w:rFonts w:hint="eastAsia" w:ascii="宋体" w:hAnsi="宋体" w:cs="宋体"/>
          <w:color w:val="auto"/>
          <w:kern w:val="0"/>
          <w:sz w:val="24"/>
        </w:rPr>
        <w:t>评标审查中有发现投标书或投标人行为属不规范者，评标办法采用综合评分法的，且无法形成无效投标的，经评标委员会认定后扣减0.3—2分。</w:t>
      </w:r>
    </w:p>
    <w:p>
      <w:pPr>
        <w:pStyle w:val="5"/>
        <w:spacing w:line="380" w:lineRule="exact"/>
        <w:ind w:firstLine="118"/>
        <w:rPr>
          <w:rFonts w:ascii="宋体" w:hAnsi="宋体" w:eastAsia="宋体" w:cs="宋体"/>
          <w:color w:val="auto"/>
          <w:kern w:val="0"/>
          <w:szCs w:val="24"/>
        </w:rPr>
      </w:pPr>
      <w:bookmarkStart w:id="547" w:name="_Toc7048"/>
      <w:bookmarkStart w:id="548" w:name="_Toc31117"/>
      <w:bookmarkStart w:id="549" w:name="_Toc511142508"/>
      <w:bookmarkStart w:id="550" w:name="_Toc10284"/>
      <w:bookmarkStart w:id="551" w:name="_Toc26836"/>
      <w:r>
        <w:rPr>
          <w:rFonts w:hint="eastAsia" w:ascii="宋体" w:hAnsi="宋体" w:eastAsia="宋体" w:cs="宋体"/>
          <w:color w:val="auto"/>
          <w:szCs w:val="24"/>
        </w:rPr>
        <w:t>4.3计价文件评审规定</w:t>
      </w:r>
      <w:bookmarkEnd w:id="547"/>
      <w:bookmarkEnd w:id="548"/>
      <w:bookmarkEnd w:id="549"/>
      <w:bookmarkEnd w:id="550"/>
      <w:bookmarkEnd w:id="551"/>
    </w:p>
    <w:p>
      <w:pPr>
        <w:snapToGrid w:val="0"/>
        <w:spacing w:line="380" w:lineRule="exact"/>
        <w:ind w:firstLine="480" w:firstLineChars="200"/>
        <w:rPr>
          <w:rFonts w:ascii="宋体" w:hAnsi="宋体" w:cs="宋体"/>
          <w:color w:val="auto"/>
          <w:kern w:val="0"/>
          <w:sz w:val="24"/>
        </w:rPr>
      </w:pPr>
      <w:r>
        <w:rPr>
          <w:rFonts w:hint="eastAsia" w:ascii="宋体" w:hAnsi="宋体" w:cs="宋体"/>
          <w:color w:val="auto"/>
          <w:kern w:val="0"/>
          <w:sz w:val="24"/>
        </w:rPr>
        <w:t>评标委员会认为投标人的投标报价有可能低于其个别成本时，应当要求投标人以书面方式作出澄清，并提供相关证明材料后再进行认定。</w:t>
      </w:r>
    </w:p>
    <w:p>
      <w:pPr>
        <w:pStyle w:val="5"/>
        <w:spacing w:line="380" w:lineRule="exact"/>
        <w:ind w:firstLine="118"/>
        <w:rPr>
          <w:rFonts w:ascii="宋体" w:hAnsi="宋体" w:eastAsia="宋体" w:cs="宋体"/>
          <w:color w:val="auto"/>
          <w:szCs w:val="24"/>
        </w:rPr>
      </w:pPr>
      <w:bookmarkStart w:id="552" w:name="_Toc1902"/>
      <w:bookmarkStart w:id="553" w:name="_Toc24719"/>
      <w:bookmarkStart w:id="554" w:name="_Toc25801"/>
      <w:bookmarkStart w:id="555" w:name="_Toc14626"/>
      <w:bookmarkStart w:id="556" w:name="_Toc511142509"/>
      <w:r>
        <w:rPr>
          <w:rFonts w:hint="eastAsia" w:ascii="宋体" w:hAnsi="宋体" w:eastAsia="宋体" w:cs="宋体"/>
          <w:color w:val="auto"/>
          <w:szCs w:val="24"/>
        </w:rPr>
        <w:t>4.4打分</w:t>
      </w:r>
      <w:bookmarkEnd w:id="552"/>
      <w:bookmarkEnd w:id="553"/>
      <w:bookmarkEnd w:id="554"/>
      <w:bookmarkEnd w:id="555"/>
      <w:bookmarkEnd w:id="556"/>
    </w:p>
    <w:p>
      <w:pPr>
        <w:snapToGrid w:val="0"/>
        <w:spacing w:line="380" w:lineRule="exact"/>
        <w:ind w:firstLine="480" w:firstLineChars="200"/>
        <w:rPr>
          <w:rFonts w:ascii="宋体" w:hAnsi="宋体" w:cs="宋体"/>
          <w:color w:val="auto"/>
          <w:kern w:val="0"/>
          <w:sz w:val="24"/>
        </w:rPr>
      </w:pPr>
      <w:r>
        <w:rPr>
          <w:rFonts w:hint="eastAsia" w:ascii="宋体" w:hAnsi="宋体" w:cs="宋体"/>
          <w:color w:val="auto"/>
          <w:kern w:val="0"/>
          <w:sz w:val="24"/>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pPr>
        <w:pStyle w:val="5"/>
        <w:spacing w:line="380" w:lineRule="exact"/>
        <w:ind w:firstLine="118"/>
        <w:rPr>
          <w:rFonts w:ascii="宋体" w:hAnsi="宋体" w:eastAsia="宋体" w:cs="宋体"/>
          <w:color w:val="auto"/>
          <w:szCs w:val="24"/>
        </w:rPr>
      </w:pPr>
      <w:bookmarkStart w:id="557" w:name="_Toc26854"/>
      <w:bookmarkStart w:id="558" w:name="_Toc27443"/>
      <w:bookmarkStart w:id="559" w:name="_Toc12058"/>
      <w:bookmarkStart w:id="560" w:name="_Toc511142510"/>
      <w:bookmarkStart w:id="561" w:name="_Toc17557"/>
      <w:r>
        <w:rPr>
          <w:rFonts w:hint="eastAsia" w:ascii="宋体" w:hAnsi="宋体" w:eastAsia="宋体" w:cs="宋体"/>
          <w:color w:val="auto"/>
          <w:szCs w:val="24"/>
        </w:rPr>
        <w:t>4.5争议处理</w:t>
      </w:r>
      <w:bookmarkEnd w:id="557"/>
      <w:bookmarkEnd w:id="558"/>
      <w:bookmarkEnd w:id="559"/>
      <w:bookmarkEnd w:id="560"/>
      <w:bookmarkEnd w:id="561"/>
    </w:p>
    <w:p>
      <w:pPr>
        <w:snapToGrid w:val="0"/>
        <w:spacing w:line="380" w:lineRule="exact"/>
        <w:rPr>
          <w:rFonts w:ascii="宋体" w:hAnsi="宋体" w:cs="宋体"/>
          <w:color w:val="auto"/>
          <w:kern w:val="0"/>
          <w:sz w:val="24"/>
        </w:rPr>
      </w:pPr>
      <w:r>
        <w:rPr>
          <w:rFonts w:hint="eastAsia" w:ascii="宋体" w:hAnsi="宋体" w:cs="宋体"/>
          <w:color w:val="auto"/>
          <w:kern w:val="0"/>
          <w:sz w:val="24"/>
        </w:rPr>
        <w:t xml:space="preserve">    评标中发生重大情况或重大争议，需要进一步调查了解、协调处理的，现场监督人员报招标投标管理部门同意后可暂时休会，待有关问题得到澄清后再行复会。休会期间，所有招投标资料一律封存盐城市大丰区公共资源交易中心档案室，所有与会人员一律不得泄露评标情况。</w:t>
      </w:r>
    </w:p>
    <w:p>
      <w:pPr>
        <w:pStyle w:val="5"/>
        <w:spacing w:line="380" w:lineRule="exact"/>
        <w:ind w:firstLine="118"/>
        <w:rPr>
          <w:rFonts w:ascii="宋体" w:hAnsi="宋体" w:eastAsia="宋体" w:cs="宋体"/>
          <w:color w:val="auto"/>
          <w:szCs w:val="24"/>
        </w:rPr>
      </w:pPr>
      <w:bookmarkStart w:id="562" w:name="_Toc14523"/>
      <w:bookmarkStart w:id="563" w:name="_Toc20083"/>
      <w:bookmarkStart w:id="564" w:name="_Toc511142511"/>
      <w:bookmarkStart w:id="565" w:name="_Toc24379"/>
      <w:bookmarkStart w:id="566" w:name="_Toc2309"/>
      <w:r>
        <w:rPr>
          <w:rFonts w:hint="eastAsia" w:ascii="宋体" w:hAnsi="宋体" w:eastAsia="宋体" w:cs="宋体"/>
          <w:color w:val="auto"/>
          <w:szCs w:val="24"/>
        </w:rPr>
        <w:t>4.6违法违纪行为</w:t>
      </w:r>
      <w:bookmarkEnd w:id="562"/>
      <w:bookmarkEnd w:id="563"/>
      <w:bookmarkEnd w:id="564"/>
      <w:bookmarkEnd w:id="565"/>
      <w:bookmarkEnd w:id="566"/>
    </w:p>
    <w:p>
      <w:pPr>
        <w:spacing w:line="380" w:lineRule="exact"/>
        <w:ind w:firstLine="480" w:firstLineChars="200"/>
        <w:rPr>
          <w:rFonts w:ascii="宋体" w:hAnsi="宋体" w:cs="宋体"/>
          <w:color w:val="auto"/>
          <w:kern w:val="0"/>
          <w:sz w:val="24"/>
        </w:rPr>
      </w:pPr>
      <w:r>
        <w:rPr>
          <w:rFonts w:hint="eastAsia" w:ascii="宋体" w:hAnsi="宋体" w:cs="宋体"/>
          <w:color w:val="auto"/>
          <w:kern w:val="0"/>
          <w:sz w:val="24"/>
        </w:rPr>
        <w:t>在招投标过程中发生行贿受贿、扰乱招投标活动秩序及其他严重违法违纪行为的，一律取消有关责任人参与招投标活动的资格；影响评审结果的，应宣布评审结果无效。</w:t>
      </w:r>
    </w:p>
    <w:p>
      <w:pPr>
        <w:pStyle w:val="5"/>
        <w:spacing w:line="380" w:lineRule="exact"/>
        <w:ind w:firstLine="118"/>
        <w:rPr>
          <w:rFonts w:ascii="宋体" w:hAnsi="宋体" w:eastAsia="宋体" w:cs="宋体"/>
          <w:color w:val="auto"/>
          <w:szCs w:val="24"/>
        </w:rPr>
      </w:pPr>
      <w:bookmarkStart w:id="567" w:name="_Toc10332"/>
      <w:bookmarkStart w:id="568" w:name="_Toc16436"/>
      <w:bookmarkStart w:id="569" w:name="_Toc12379"/>
      <w:bookmarkStart w:id="570" w:name="_Toc25598"/>
      <w:bookmarkStart w:id="571" w:name="_Toc511142512"/>
      <w:r>
        <w:rPr>
          <w:rFonts w:hint="eastAsia" w:ascii="宋体" w:hAnsi="宋体" w:eastAsia="宋体" w:cs="宋体"/>
          <w:color w:val="auto"/>
          <w:szCs w:val="24"/>
        </w:rPr>
        <w:t>4.7其它</w:t>
      </w:r>
      <w:bookmarkEnd w:id="567"/>
      <w:bookmarkEnd w:id="568"/>
      <w:bookmarkEnd w:id="569"/>
      <w:bookmarkEnd w:id="570"/>
      <w:bookmarkEnd w:id="571"/>
    </w:p>
    <w:p>
      <w:pPr>
        <w:spacing w:line="380" w:lineRule="exact"/>
        <w:ind w:firstLine="480" w:firstLineChars="200"/>
        <w:rPr>
          <w:rFonts w:ascii="宋体" w:hAnsi="宋体" w:cs="宋体"/>
          <w:b/>
          <w:color w:val="auto"/>
          <w:kern w:val="0"/>
          <w:sz w:val="24"/>
        </w:rPr>
      </w:pPr>
      <w:r>
        <w:rPr>
          <w:rFonts w:hint="eastAsia" w:ascii="宋体" w:hAnsi="宋体" w:cs="宋体"/>
          <w:b/>
          <w:color w:val="auto"/>
          <w:kern w:val="0"/>
          <w:sz w:val="24"/>
        </w:rPr>
        <w:t>在评审过程中，一旦发现招标文件中发现以下现象的，经评标委员会认定，删除该项评审或记分。</w:t>
      </w:r>
    </w:p>
    <w:p>
      <w:pPr>
        <w:spacing w:line="380" w:lineRule="exact"/>
        <w:ind w:firstLine="480" w:firstLineChars="200"/>
        <w:rPr>
          <w:rFonts w:ascii="宋体" w:hAnsi="宋体" w:cs="宋体"/>
          <w:b/>
          <w:color w:val="auto"/>
          <w:kern w:val="0"/>
          <w:sz w:val="24"/>
        </w:rPr>
      </w:pPr>
      <w:r>
        <w:rPr>
          <w:rFonts w:hint="eastAsia" w:ascii="宋体" w:hAnsi="宋体" w:cs="宋体"/>
          <w:b/>
          <w:color w:val="auto"/>
          <w:kern w:val="0"/>
          <w:sz w:val="24"/>
        </w:rPr>
        <w:t>（1）招标文件内容中某项条款，有明显倾向或歧视的；</w:t>
      </w:r>
    </w:p>
    <w:p>
      <w:pPr>
        <w:spacing w:line="380" w:lineRule="exact"/>
        <w:ind w:firstLine="480" w:firstLineChars="200"/>
        <w:rPr>
          <w:rFonts w:ascii="宋体" w:hAnsi="宋体" w:cs="宋体"/>
          <w:b/>
          <w:color w:val="auto"/>
          <w:kern w:val="0"/>
          <w:sz w:val="24"/>
        </w:rPr>
      </w:pPr>
      <w:r>
        <w:rPr>
          <w:rFonts w:hint="eastAsia" w:ascii="宋体" w:hAnsi="宋体" w:cs="宋体"/>
          <w:b/>
          <w:color w:val="auto"/>
          <w:kern w:val="0"/>
          <w:sz w:val="24"/>
        </w:rPr>
        <w:t>（2）招标文件内容中某项条款有多种解释的。</w:t>
      </w:r>
    </w:p>
    <w:p>
      <w:pPr>
        <w:spacing w:line="380" w:lineRule="exact"/>
        <w:ind w:firstLine="480" w:firstLineChars="200"/>
        <w:jc w:val="left"/>
        <w:rPr>
          <w:rFonts w:ascii="宋体" w:hAnsi="宋体" w:cs="宋体"/>
          <w:color w:val="auto"/>
          <w:kern w:val="0"/>
          <w:sz w:val="24"/>
        </w:rPr>
      </w:pPr>
      <w:r>
        <w:rPr>
          <w:rFonts w:hint="eastAsia" w:ascii="宋体" w:hAnsi="宋体" w:cs="宋体"/>
          <w:color w:val="auto"/>
          <w:kern w:val="0"/>
          <w:sz w:val="24"/>
        </w:rPr>
        <w:t>评标委员会对优、良、中分档记分的，必须先确定优、良、中档次，再独立记分。评标委员会在评审中意见不统一并可能影响结果的，请评委各自留下书面意见，并以少数服从多数形成结论。</w:t>
      </w:r>
    </w:p>
    <w:p>
      <w:pPr>
        <w:autoSpaceDE w:val="0"/>
        <w:autoSpaceDN w:val="0"/>
        <w:spacing w:line="380" w:lineRule="exact"/>
        <w:ind w:firstLine="480" w:firstLineChars="200"/>
        <w:rPr>
          <w:rFonts w:ascii="宋体" w:hAnsi="TimesNewRomanPSMT"/>
          <w:color w:val="auto"/>
          <w:kern w:val="0"/>
          <w:sz w:val="24"/>
        </w:rPr>
      </w:pPr>
      <w:r>
        <w:rPr>
          <w:rFonts w:hint="eastAsia" w:ascii="宋体" w:hAnsi="宋体" w:cs="宋体"/>
          <w:color w:val="auto"/>
          <w:kern w:val="0"/>
          <w:sz w:val="24"/>
        </w:rPr>
        <w:t>经评审委员会评审，认为所有投标都不符合招标文件要求的，或符合的投标人少于三家的，可以否决所有投标；也可以根据《政府采购货物和服务招标投标管理办法》相关规定：“在评标期间，出现符合专业条件的供应商或者对招标文件作出实质性响应的供应商不足三家情形的，经相关主管部门同意，可以采取竞争性谈判方式”等条款评审，具体依据政府采购法第三十八条“竞争性谈判程序”执行。</w:t>
      </w:r>
    </w:p>
    <w:bookmarkEnd w:id="454"/>
    <w:bookmarkEnd w:id="455"/>
    <w:p>
      <w:pPr>
        <w:widowControl/>
        <w:spacing w:line="360" w:lineRule="auto"/>
        <w:jc w:val="center"/>
        <w:outlineLvl w:val="0"/>
        <w:rPr>
          <w:rStyle w:val="132"/>
          <w:b/>
          <w:color w:val="auto"/>
          <w:kern w:val="44"/>
          <w:sz w:val="36"/>
          <w:szCs w:val="36"/>
        </w:rPr>
      </w:pPr>
    </w:p>
    <w:p>
      <w:pPr>
        <w:widowControl/>
        <w:spacing w:line="360" w:lineRule="auto"/>
        <w:jc w:val="center"/>
        <w:outlineLvl w:val="0"/>
        <w:rPr>
          <w:rStyle w:val="132"/>
          <w:rFonts w:hint="eastAsia"/>
          <w:b/>
          <w:color w:val="auto"/>
          <w:kern w:val="44"/>
          <w:sz w:val="36"/>
          <w:szCs w:val="36"/>
        </w:rPr>
      </w:pPr>
      <w:bookmarkStart w:id="572" w:name="_Toc10982"/>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rFonts w:hint="eastAsia"/>
          <w:b/>
          <w:color w:val="auto"/>
          <w:kern w:val="44"/>
          <w:sz w:val="36"/>
          <w:szCs w:val="36"/>
        </w:rPr>
      </w:pPr>
    </w:p>
    <w:p>
      <w:pPr>
        <w:widowControl/>
        <w:spacing w:line="360" w:lineRule="auto"/>
        <w:jc w:val="center"/>
        <w:outlineLvl w:val="0"/>
        <w:rPr>
          <w:rStyle w:val="132"/>
          <w:b/>
          <w:color w:val="auto"/>
          <w:kern w:val="44"/>
          <w:sz w:val="36"/>
          <w:szCs w:val="36"/>
        </w:rPr>
      </w:pPr>
      <w:r>
        <w:rPr>
          <w:rStyle w:val="132"/>
          <w:rFonts w:hint="eastAsia"/>
          <w:b/>
          <w:color w:val="auto"/>
          <w:kern w:val="44"/>
          <w:sz w:val="36"/>
          <w:szCs w:val="36"/>
        </w:rPr>
        <w:t>第四章  合同条款及格式</w:t>
      </w:r>
      <w:bookmarkEnd w:id="572"/>
    </w:p>
    <w:p>
      <w:pPr>
        <w:pStyle w:val="2"/>
        <w:widowControl/>
        <w:spacing w:line="360" w:lineRule="auto"/>
        <w:ind w:firstLine="210"/>
        <w:rPr>
          <w:color w:val="auto"/>
          <w:szCs w:val="21"/>
        </w:rPr>
      </w:pPr>
    </w:p>
    <w:p>
      <w:pPr>
        <w:pStyle w:val="135"/>
        <w:widowControl/>
        <w:snapToGrid w:val="0"/>
        <w:spacing w:line="360" w:lineRule="auto"/>
        <w:ind w:firstLine="426"/>
        <w:jc w:val="left"/>
        <w:rPr>
          <w:rFonts w:ascii="宋体" w:hAnsi="宋体" w:cs="宋体"/>
          <w:b w:val="0"/>
          <w:color w:val="auto"/>
          <w:kern w:val="0"/>
          <w:szCs w:val="24"/>
        </w:rPr>
      </w:pPr>
      <w:r>
        <w:rPr>
          <w:rFonts w:hint="eastAsia" w:ascii="宋体" w:hAnsi="宋体" w:cs="宋体"/>
          <w:b w:val="0"/>
          <w:color w:val="auto"/>
          <w:kern w:val="0"/>
          <w:szCs w:val="24"/>
        </w:rPr>
        <w:t>甲方：</w:t>
      </w:r>
      <w:r>
        <w:rPr>
          <w:rFonts w:hint="eastAsia" w:ascii="宋体" w:hAnsi="宋体" w:cs="宋体"/>
          <w:b w:val="0"/>
          <w:color w:val="auto"/>
          <w:kern w:val="0"/>
          <w:szCs w:val="24"/>
          <w:u w:val="single"/>
        </w:rPr>
        <w:t>盐城市大丰区自然资源和规划局</w:t>
      </w:r>
      <w:r>
        <w:rPr>
          <w:rFonts w:hint="eastAsia" w:ascii="宋体" w:hAnsi="宋体" w:cs="宋体"/>
          <w:b w:val="0"/>
          <w:color w:val="auto"/>
          <w:kern w:val="0"/>
          <w:szCs w:val="24"/>
        </w:rPr>
        <w:t xml:space="preserve"> </w:t>
      </w:r>
    </w:p>
    <w:p>
      <w:pPr>
        <w:pStyle w:val="135"/>
        <w:widowControl/>
        <w:snapToGrid w:val="0"/>
        <w:spacing w:line="360" w:lineRule="auto"/>
        <w:ind w:firstLine="426"/>
        <w:jc w:val="left"/>
        <w:rPr>
          <w:rFonts w:ascii="宋体" w:hAnsi="宋体" w:cs="宋体"/>
          <w:b w:val="0"/>
          <w:bCs/>
          <w:color w:val="auto"/>
          <w:szCs w:val="24"/>
          <w:lang w:val="zh-CN"/>
        </w:rPr>
      </w:pPr>
      <w:r>
        <w:rPr>
          <w:rFonts w:hint="eastAsia" w:ascii="宋体" w:hAnsi="宋体" w:cs="宋体"/>
          <w:b w:val="0"/>
          <w:color w:val="auto"/>
          <w:kern w:val="0"/>
          <w:szCs w:val="24"/>
        </w:rPr>
        <w:t>乙方：</w:t>
      </w:r>
      <w:r>
        <w:rPr>
          <w:rFonts w:hint="eastAsia" w:ascii="宋体" w:hAnsi="宋体" w:cs="宋体"/>
          <w:b w:val="0"/>
          <w:color w:val="auto"/>
          <w:kern w:val="0"/>
          <w:szCs w:val="24"/>
          <w:u w:val="single"/>
        </w:rPr>
        <w:t xml:space="preserve">                 </w:t>
      </w:r>
      <w:r>
        <w:rPr>
          <w:rFonts w:hint="eastAsia" w:ascii="宋体" w:hAnsi="宋体" w:cs="宋体"/>
          <w:b w:val="0"/>
          <w:bCs/>
          <w:color w:val="auto"/>
          <w:szCs w:val="24"/>
          <w:u w:val="single"/>
          <w:lang w:val="zh-CN"/>
        </w:rPr>
        <w:t xml:space="preserve">           </w:t>
      </w:r>
      <w:r>
        <w:rPr>
          <w:rFonts w:hint="eastAsia" w:ascii="宋体" w:hAnsi="宋体" w:cs="宋体"/>
          <w:b w:val="0"/>
          <w:bCs/>
          <w:color w:val="auto"/>
          <w:szCs w:val="24"/>
          <w:lang w:val="zh-CN"/>
        </w:rPr>
        <w:t xml:space="preserve">  </w:t>
      </w:r>
    </w:p>
    <w:p>
      <w:pPr>
        <w:pStyle w:val="24"/>
        <w:snapToGrid w:val="0"/>
        <w:spacing w:before="231" w:after="231" w:line="380" w:lineRule="exact"/>
        <w:ind w:firstLine="480" w:firstLineChars="200"/>
        <w:rPr>
          <w:rFonts w:hAnsi="宋体" w:cs="宋体"/>
          <w:bCs/>
          <w:color w:val="auto"/>
          <w:sz w:val="24"/>
          <w:szCs w:val="24"/>
          <w:lang w:val="zh-CN"/>
        </w:rPr>
      </w:pPr>
      <w:r>
        <w:rPr>
          <w:rFonts w:hint="eastAsia" w:hAnsi="宋体" w:cs="宋体"/>
          <w:bCs/>
          <w:color w:val="auto"/>
          <w:sz w:val="24"/>
          <w:szCs w:val="24"/>
          <w:lang w:val="zh-CN"/>
        </w:rPr>
        <w:t>根据招标文件及中标人的投标文件和中标通知书，甲乙双方就此次中标的</w:t>
      </w:r>
      <w:r>
        <w:rPr>
          <w:rFonts w:hint="eastAsia" w:hAnsi="宋体" w:cs="宋体"/>
          <w:bCs/>
          <w:color w:val="auto"/>
          <w:sz w:val="24"/>
          <w:szCs w:val="24"/>
          <w:u w:val="single"/>
          <w:lang w:val="zh-CN"/>
        </w:rPr>
        <w:t>盐城市大丰区自然资源信息化监管平台（鹰眼系统）服务项目</w:t>
      </w:r>
      <w:r>
        <w:rPr>
          <w:rFonts w:hint="eastAsia" w:hAnsi="宋体" w:cs="宋体"/>
          <w:bCs/>
          <w:color w:val="auto"/>
          <w:sz w:val="24"/>
          <w:szCs w:val="24"/>
          <w:lang w:val="zh-CN"/>
        </w:rPr>
        <w:t>事宜，签订本合同书。</w:t>
      </w:r>
    </w:p>
    <w:p>
      <w:pPr>
        <w:pStyle w:val="24"/>
        <w:numPr>
          <w:ilvl w:val="0"/>
          <w:numId w:val="5"/>
        </w:numPr>
        <w:tabs>
          <w:tab w:val="left" w:pos="6383"/>
        </w:tabs>
        <w:snapToGrid w:val="0"/>
        <w:spacing w:before="231" w:after="231" w:line="380" w:lineRule="exact"/>
        <w:rPr>
          <w:rFonts w:hAnsi="宋体" w:cs="宋体"/>
          <w:b/>
          <w:color w:val="auto"/>
          <w:sz w:val="24"/>
          <w:szCs w:val="24"/>
        </w:rPr>
      </w:pPr>
      <w:r>
        <w:rPr>
          <w:rFonts w:hint="eastAsia" w:hAnsi="宋体" w:cs="宋体"/>
          <w:b/>
          <w:color w:val="auto"/>
          <w:sz w:val="24"/>
          <w:szCs w:val="24"/>
        </w:rPr>
        <w:t>服务内容</w:t>
      </w:r>
    </w:p>
    <w:p>
      <w:pPr>
        <w:pStyle w:val="24"/>
        <w:tabs>
          <w:tab w:val="left" w:pos="6383"/>
        </w:tabs>
        <w:snapToGrid w:val="0"/>
        <w:spacing w:before="231" w:after="231" w:line="380" w:lineRule="exact"/>
        <w:ind w:firstLine="480" w:firstLineChars="200"/>
        <w:rPr>
          <w:rFonts w:hAnsi="宋体" w:cs="宋体"/>
          <w:bCs/>
          <w:color w:val="auto"/>
          <w:sz w:val="24"/>
          <w:szCs w:val="24"/>
          <w:lang w:val="zh-CN"/>
        </w:rPr>
      </w:pPr>
      <w:r>
        <w:rPr>
          <w:rFonts w:hint="eastAsia" w:hAnsi="宋体" w:cs="宋体"/>
          <w:bCs/>
          <w:color w:val="auto"/>
          <w:sz w:val="24"/>
          <w:szCs w:val="24"/>
        </w:rPr>
        <w:t>详见本项目服务需求</w:t>
      </w:r>
      <w:r>
        <w:rPr>
          <w:rFonts w:hint="eastAsia" w:hAnsi="宋体" w:cs="宋体"/>
          <w:bCs/>
          <w:color w:val="auto"/>
          <w:sz w:val="24"/>
          <w:szCs w:val="24"/>
          <w:lang w:val="zh-CN"/>
        </w:rPr>
        <w:t>。</w:t>
      </w:r>
    </w:p>
    <w:p>
      <w:pPr>
        <w:pStyle w:val="24"/>
        <w:tabs>
          <w:tab w:val="left" w:pos="6383"/>
        </w:tabs>
        <w:snapToGrid w:val="0"/>
        <w:spacing w:before="231" w:after="231" w:line="380" w:lineRule="exact"/>
        <w:rPr>
          <w:rFonts w:hAnsi="宋体" w:cs="宋体"/>
          <w:b/>
          <w:color w:val="auto"/>
          <w:sz w:val="24"/>
          <w:szCs w:val="24"/>
        </w:rPr>
      </w:pPr>
      <w:r>
        <w:rPr>
          <w:rFonts w:hint="eastAsia" w:hAnsi="宋体" w:cs="宋体"/>
          <w:b/>
          <w:color w:val="auto"/>
          <w:sz w:val="24"/>
          <w:szCs w:val="24"/>
        </w:rPr>
        <w:t>二、合同金额</w:t>
      </w:r>
    </w:p>
    <w:p>
      <w:pPr>
        <w:pStyle w:val="24"/>
        <w:snapToGrid w:val="0"/>
        <w:spacing w:before="231" w:after="231" w:line="380" w:lineRule="exact"/>
        <w:ind w:left="410" w:hanging="410" w:hangingChars="171"/>
        <w:rPr>
          <w:rFonts w:hAnsi="宋体" w:cs="宋体"/>
          <w:color w:val="auto"/>
          <w:sz w:val="24"/>
          <w:szCs w:val="24"/>
        </w:rPr>
      </w:pPr>
      <w:r>
        <w:rPr>
          <w:rFonts w:hint="eastAsia" w:hAnsi="宋体" w:cs="宋体"/>
          <w:color w:val="auto"/>
          <w:sz w:val="24"/>
          <w:szCs w:val="24"/>
        </w:rPr>
        <w:t xml:space="preserve">    本合同金额为（大写）：</w:t>
      </w:r>
      <w:r>
        <w:rPr>
          <w:rFonts w:hint="eastAsia" w:hAnsi="宋体" w:cs="宋体"/>
          <w:color w:val="auto"/>
          <w:sz w:val="24"/>
          <w:szCs w:val="24"/>
          <w:u w:val="single"/>
        </w:rPr>
        <w:t xml:space="preserve">           </w:t>
      </w:r>
      <w:r>
        <w:rPr>
          <w:rFonts w:hint="eastAsia" w:hAnsi="宋体" w:cs="宋体"/>
          <w:color w:val="auto"/>
          <w:kern w:val="0"/>
          <w:sz w:val="24"/>
          <w:szCs w:val="24"/>
        </w:rPr>
        <w:t>元整</w:t>
      </w:r>
      <w:r>
        <w:rPr>
          <w:rFonts w:hint="eastAsia" w:hAnsi="宋体" w:cs="宋体"/>
          <w:color w:val="auto"/>
          <w:sz w:val="24"/>
          <w:szCs w:val="24"/>
        </w:rPr>
        <w:t>（￥</w:t>
      </w:r>
      <w:r>
        <w:rPr>
          <w:rFonts w:hint="eastAsia" w:hAnsi="宋体" w:cs="宋体"/>
          <w:color w:val="auto"/>
          <w:sz w:val="24"/>
          <w:szCs w:val="24"/>
          <w:u w:val="single"/>
        </w:rPr>
        <w:t xml:space="preserve">      </w:t>
      </w:r>
      <w:r>
        <w:rPr>
          <w:rFonts w:hint="eastAsia" w:hAnsi="宋体" w:cs="宋体"/>
          <w:color w:val="auto"/>
          <w:sz w:val="24"/>
          <w:szCs w:val="24"/>
        </w:rPr>
        <w:t>元）人民币。</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合同总价为完成本项目可能发生的全部费用及利润和税金等包括但不限于相关服务费、人工费、材料费、光纤联网使用费、整合资源费、技术服务费、税费、企业管理费、利润、招标代理费等用以及所有不可预见的全部相关费用，结算时甲方不另外增加任何费用给乙方。</w:t>
      </w:r>
    </w:p>
    <w:p>
      <w:pPr>
        <w:pStyle w:val="24"/>
        <w:snapToGrid w:val="0"/>
        <w:spacing w:before="231" w:after="231" w:line="380" w:lineRule="exact"/>
        <w:rPr>
          <w:rFonts w:hAnsi="宋体" w:cs="宋体"/>
          <w:b/>
          <w:color w:val="auto"/>
          <w:sz w:val="24"/>
          <w:szCs w:val="24"/>
        </w:rPr>
      </w:pPr>
      <w:r>
        <w:rPr>
          <w:rFonts w:hint="eastAsia" w:hAnsi="宋体" w:cs="宋体"/>
          <w:b/>
          <w:color w:val="auto"/>
          <w:sz w:val="24"/>
          <w:szCs w:val="24"/>
        </w:rPr>
        <w:t>三、技术资料</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1. 乙方应按招标文件规定的时间向甲方提供使用的有关技术资料。</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231" w:after="231" w:line="380" w:lineRule="exact"/>
        <w:ind w:left="412" w:hanging="410" w:hangingChars="171"/>
        <w:rPr>
          <w:rFonts w:hAnsi="宋体" w:cs="宋体"/>
          <w:b/>
          <w:color w:val="auto"/>
          <w:sz w:val="24"/>
          <w:szCs w:val="24"/>
        </w:rPr>
      </w:pPr>
      <w:r>
        <w:rPr>
          <w:rFonts w:hint="eastAsia" w:hAnsi="宋体" w:cs="宋体"/>
          <w:b/>
          <w:color w:val="auto"/>
          <w:sz w:val="24"/>
          <w:szCs w:val="24"/>
        </w:rPr>
        <w:t>四、知识产权</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color w:val="auto"/>
          <w:sz w:val="24"/>
          <w:szCs w:val="24"/>
        </w:rPr>
        <w:t>乙方应保证所提供的服务或其任何一部分均不会侵犯任何第三方的知识产权</w:t>
      </w:r>
      <w:r>
        <w:rPr>
          <w:rFonts w:hint="eastAsia" w:hAnsi="宋体" w:cs="宋体"/>
          <w:bCs/>
          <w:color w:val="auto"/>
          <w:sz w:val="24"/>
          <w:szCs w:val="24"/>
        </w:rPr>
        <w:t>。</w:t>
      </w:r>
    </w:p>
    <w:p>
      <w:pPr>
        <w:pStyle w:val="24"/>
        <w:snapToGrid w:val="0"/>
        <w:spacing w:before="231" w:after="231" w:line="380" w:lineRule="exact"/>
        <w:rPr>
          <w:rFonts w:hAnsi="宋体" w:cs="宋体"/>
          <w:color w:val="auto"/>
          <w:sz w:val="24"/>
          <w:szCs w:val="24"/>
          <w:u w:val="single"/>
        </w:rPr>
      </w:pPr>
      <w:r>
        <w:rPr>
          <w:rFonts w:hint="eastAsia" w:hAnsi="宋体" w:cs="宋体"/>
          <w:b/>
          <w:color w:val="auto"/>
          <w:sz w:val="24"/>
          <w:szCs w:val="24"/>
        </w:rPr>
        <w:t>五、产权担保</w:t>
      </w:r>
    </w:p>
    <w:p>
      <w:pPr>
        <w:pStyle w:val="24"/>
        <w:snapToGrid w:val="0"/>
        <w:spacing w:before="231" w:after="231" w:line="380" w:lineRule="exact"/>
        <w:ind w:firstLine="480" w:firstLineChars="200"/>
        <w:rPr>
          <w:rFonts w:hAnsi="宋体" w:cs="宋体"/>
          <w:color w:val="auto"/>
          <w:sz w:val="24"/>
          <w:szCs w:val="24"/>
          <w:u w:val="single"/>
        </w:rPr>
      </w:pPr>
      <w:r>
        <w:rPr>
          <w:rFonts w:hint="eastAsia" w:hAnsi="宋体" w:cs="宋体"/>
          <w:color w:val="auto"/>
          <w:sz w:val="24"/>
          <w:szCs w:val="24"/>
        </w:rPr>
        <w:t>乙方保证所交付的所有权完全属于乙方且无任何抵押、查封等产权瑕疵。</w:t>
      </w:r>
    </w:p>
    <w:p>
      <w:pPr>
        <w:pStyle w:val="24"/>
        <w:snapToGrid w:val="0"/>
        <w:spacing w:before="231" w:after="231" w:line="380" w:lineRule="exact"/>
        <w:ind w:left="410" w:hanging="408" w:hangingChars="170"/>
        <w:rPr>
          <w:rFonts w:hAnsi="宋体" w:cs="宋体"/>
          <w:b/>
          <w:color w:val="auto"/>
          <w:sz w:val="24"/>
          <w:szCs w:val="24"/>
        </w:rPr>
      </w:pPr>
      <w:r>
        <w:rPr>
          <w:rFonts w:hint="eastAsia" w:hAnsi="宋体" w:cs="宋体"/>
          <w:b/>
          <w:color w:val="auto"/>
          <w:sz w:val="24"/>
          <w:szCs w:val="24"/>
        </w:rPr>
        <w:t>六、履约保证金</w:t>
      </w:r>
    </w:p>
    <w:p>
      <w:pPr>
        <w:spacing w:line="500" w:lineRule="exact"/>
        <w:ind w:firstLine="480" w:firstLineChars="200"/>
        <w:jc w:val="left"/>
        <w:rPr>
          <w:rFonts w:asciiTheme="minorEastAsia" w:hAnsiTheme="minorEastAsia" w:eastAsiaTheme="minorEastAsia"/>
          <w:color w:val="auto"/>
          <w:sz w:val="24"/>
        </w:rPr>
      </w:pPr>
      <w:r>
        <w:rPr>
          <w:rFonts w:hint="eastAsia" w:ascii="宋体" w:hAnsi="宋体" w:cs="宋体"/>
          <w:color w:val="auto"/>
          <w:sz w:val="24"/>
        </w:rPr>
        <w:t>1.</w:t>
      </w:r>
      <w:r>
        <w:rPr>
          <w:rFonts w:hint="eastAsia" w:asciiTheme="minorEastAsia" w:hAnsiTheme="minorEastAsia" w:eastAsiaTheme="minorEastAsia"/>
          <w:color w:val="auto"/>
          <w:sz w:val="24"/>
        </w:rPr>
        <w:t xml:space="preserve"> 合同签订后3个工作日内向招标人提交履约保证金，</w:t>
      </w:r>
      <w:r>
        <w:rPr>
          <w:rFonts w:hint="eastAsia" w:ascii="宋体" w:hAnsi="宋体" w:cs="宋体"/>
          <w:color w:val="auto"/>
          <w:sz w:val="24"/>
        </w:rPr>
        <w:t>履</w:t>
      </w:r>
      <w:r>
        <w:rPr>
          <w:rFonts w:hint="eastAsia" w:hAnsi="宋体" w:cs="宋体"/>
          <w:color w:val="auto"/>
          <w:sz w:val="24"/>
        </w:rPr>
        <w:t>约保证金的形式：</w:t>
      </w:r>
      <w:r>
        <w:rPr>
          <w:rFonts w:hint="eastAsia" w:asciiTheme="minorEastAsia" w:hAnsiTheme="minorEastAsia" w:eastAsiaTheme="minorEastAsia"/>
          <w:color w:val="auto"/>
          <w:sz w:val="24"/>
        </w:rPr>
        <w:t>电汇、转账、履约担保或者投标人基本账户开户行出具的保函。采用保函时，供应商应保证保函有效，所需的费用由供应商承担。</w:t>
      </w:r>
    </w:p>
    <w:p>
      <w:pPr>
        <w:spacing w:line="500" w:lineRule="exact"/>
        <w:ind w:firstLine="480" w:firstLineChars="200"/>
        <w:jc w:val="left"/>
        <w:rPr>
          <w:rFonts w:ascii="宋体" w:hAnsi="宋体" w:cs="宋体"/>
          <w:color w:val="auto"/>
          <w:sz w:val="24"/>
        </w:rPr>
      </w:pPr>
      <w:r>
        <w:rPr>
          <w:rFonts w:hint="eastAsia" w:ascii="宋体" w:hAnsi="宋体" w:cs="宋体"/>
          <w:color w:val="auto"/>
          <w:sz w:val="24"/>
        </w:rPr>
        <w:t>2.乙方交纳人民币</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元）人民币作为本合同的履约保证金。合同签订后3个工作日内向甲方提交履约保证金，合同履行完成后一次性无息退还。</w:t>
      </w:r>
    </w:p>
    <w:p>
      <w:pPr>
        <w:pStyle w:val="24"/>
        <w:snapToGrid w:val="0"/>
        <w:spacing w:before="231" w:after="231" w:line="500" w:lineRule="exact"/>
        <w:ind w:firstLine="480" w:firstLineChars="200"/>
        <w:rPr>
          <w:rFonts w:hAnsi="宋体" w:cs="宋体"/>
          <w:bCs/>
          <w:color w:val="auto"/>
          <w:sz w:val="24"/>
          <w:szCs w:val="24"/>
        </w:rPr>
      </w:pPr>
      <w:r>
        <w:rPr>
          <w:rFonts w:hint="eastAsia" w:hAnsi="宋体" w:cs="宋体"/>
          <w:bCs/>
          <w:color w:val="auto"/>
          <w:sz w:val="24"/>
          <w:szCs w:val="24"/>
        </w:rPr>
        <w:t>3.采购人对AA评级及以上政府采购供应商（需提供信用管理部门备案的第三方信用报告），免收履约保证金或降低履约保证金缴纳比例。</w:t>
      </w:r>
    </w:p>
    <w:p>
      <w:pPr>
        <w:pStyle w:val="24"/>
        <w:snapToGrid w:val="0"/>
        <w:spacing w:before="231" w:after="231" w:line="500" w:lineRule="exact"/>
        <w:ind w:left="410" w:hanging="408" w:hangingChars="170"/>
        <w:rPr>
          <w:rFonts w:hAnsi="宋体" w:cs="宋体"/>
          <w:b/>
          <w:color w:val="auto"/>
          <w:sz w:val="24"/>
          <w:szCs w:val="24"/>
        </w:rPr>
      </w:pPr>
      <w:r>
        <w:rPr>
          <w:rFonts w:hint="eastAsia" w:hAnsi="宋体" w:cs="宋体"/>
          <w:b/>
          <w:color w:val="auto"/>
          <w:sz w:val="24"/>
          <w:szCs w:val="24"/>
        </w:rPr>
        <w:t>七、转包或分包</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1.本合同范围的服务，应由乙方直接供应，不得转让他人供应；</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2.除非得到甲方的书面同意，乙方不得将本合同范围的服务全部或部分分包给他人供应；</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3.如有转让和未经甲方同意的分包行为，甲方有权解除合同，没收履约保证金并追究乙方的违约责任。</w:t>
      </w:r>
    </w:p>
    <w:p>
      <w:pPr>
        <w:pStyle w:val="24"/>
        <w:snapToGrid w:val="0"/>
        <w:spacing w:before="231" w:after="231" w:line="380" w:lineRule="exact"/>
        <w:rPr>
          <w:rFonts w:hAnsi="宋体" w:cs="宋体"/>
          <w:b/>
          <w:color w:val="auto"/>
          <w:sz w:val="24"/>
          <w:szCs w:val="24"/>
        </w:rPr>
      </w:pPr>
      <w:r>
        <w:rPr>
          <w:rFonts w:hint="eastAsia" w:hAnsi="宋体" w:cs="宋体"/>
          <w:b/>
          <w:color w:val="auto"/>
          <w:sz w:val="24"/>
          <w:szCs w:val="24"/>
        </w:rPr>
        <w:t>八、合同履行期限、服务地点</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1. 合同履行期限：</w:t>
      </w:r>
      <w:r>
        <w:rPr>
          <w:rFonts w:hint="eastAsia" w:hAnsi="宋体" w:cs="宋体"/>
          <w:color w:val="auto"/>
          <w:kern w:val="0"/>
          <w:sz w:val="24"/>
          <w:szCs w:val="24"/>
        </w:rPr>
        <w:t>合同签订后</w:t>
      </w:r>
      <w:r>
        <w:rPr>
          <w:rFonts w:hint="eastAsia" w:hAnsi="宋体" w:cs="宋体"/>
          <w:color w:val="auto"/>
          <w:kern w:val="0"/>
          <w:sz w:val="24"/>
          <w:szCs w:val="24"/>
          <w:u w:val="single"/>
        </w:rPr>
        <w:t xml:space="preserve">    </w:t>
      </w:r>
      <w:r>
        <w:rPr>
          <w:rFonts w:hint="eastAsia" w:hAnsi="宋体" w:cs="宋体"/>
          <w:color w:val="auto"/>
          <w:kern w:val="0"/>
          <w:sz w:val="24"/>
          <w:szCs w:val="24"/>
        </w:rPr>
        <w:t>日历天内完成系统平台建设并交付招标人使用</w:t>
      </w:r>
      <w:r>
        <w:rPr>
          <w:rFonts w:hint="eastAsia" w:hAnsi="宋体" w:cs="宋体"/>
          <w:bCs/>
          <w:color w:val="auto"/>
          <w:sz w:val="24"/>
          <w:szCs w:val="24"/>
        </w:rPr>
        <w:t xml:space="preserve"> 。</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2. 服务地点：</w:t>
      </w:r>
      <w:r>
        <w:rPr>
          <w:rFonts w:hint="eastAsia" w:hAnsi="宋体" w:cs="宋体"/>
          <w:bCs/>
          <w:color w:val="auto"/>
          <w:sz w:val="24"/>
          <w:szCs w:val="24"/>
          <w:u w:val="single"/>
        </w:rPr>
        <w:t>由甲方指定地点为准</w:t>
      </w:r>
      <w:r>
        <w:rPr>
          <w:rFonts w:hint="eastAsia" w:hAnsi="宋体" w:cs="宋体"/>
          <w:bCs/>
          <w:color w:val="auto"/>
          <w:sz w:val="24"/>
          <w:szCs w:val="24"/>
        </w:rPr>
        <w:t>。</w:t>
      </w:r>
    </w:p>
    <w:p>
      <w:pPr>
        <w:pStyle w:val="24"/>
        <w:snapToGrid w:val="0"/>
        <w:spacing w:before="231" w:after="231" w:line="380" w:lineRule="exact"/>
        <w:rPr>
          <w:rFonts w:hAnsi="宋体" w:cs="宋体"/>
          <w:b/>
          <w:bCs/>
          <w:color w:val="auto"/>
          <w:sz w:val="24"/>
          <w:szCs w:val="24"/>
        </w:rPr>
      </w:pPr>
      <w:r>
        <w:rPr>
          <w:rFonts w:hint="eastAsia" w:hAnsi="宋体" w:cs="宋体"/>
          <w:b/>
          <w:bCs/>
          <w:color w:val="auto"/>
          <w:sz w:val="24"/>
          <w:szCs w:val="24"/>
        </w:rPr>
        <w:t>九、货款支付：</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 xml:space="preserve">合同签订后7个工作日内付10%预付款，项目验收合格并经审核结束后付至审核价款的95%，余款待审核结束且服务期满后无息付清。   </w:t>
      </w:r>
    </w:p>
    <w:p>
      <w:pPr>
        <w:pStyle w:val="24"/>
        <w:snapToGrid w:val="0"/>
        <w:spacing w:before="231" w:after="231" w:line="380" w:lineRule="exact"/>
        <w:rPr>
          <w:rFonts w:hAnsi="宋体" w:cs="宋体"/>
          <w:b/>
          <w:color w:val="auto"/>
          <w:sz w:val="24"/>
          <w:szCs w:val="24"/>
        </w:rPr>
      </w:pPr>
      <w:r>
        <w:rPr>
          <w:rFonts w:hint="eastAsia" w:hAnsi="宋体" w:cs="宋体"/>
          <w:b/>
          <w:color w:val="auto"/>
          <w:sz w:val="24"/>
          <w:szCs w:val="24"/>
        </w:rPr>
        <w:t>十、税费</w:t>
      </w:r>
    </w:p>
    <w:p>
      <w:pPr>
        <w:snapToGrid w:val="0"/>
        <w:spacing w:before="156" w:beforeLines="50" w:after="156" w:afterLines="50" w:line="380" w:lineRule="exact"/>
        <w:ind w:firstLine="480" w:firstLineChars="200"/>
        <w:rPr>
          <w:rFonts w:ascii="宋体" w:hAnsi="宋体" w:cs="宋体"/>
          <w:color w:val="auto"/>
          <w:sz w:val="24"/>
        </w:rPr>
      </w:pPr>
      <w:r>
        <w:rPr>
          <w:rFonts w:hint="eastAsia" w:ascii="宋体" w:hAnsi="宋体" w:cs="宋体"/>
          <w:color w:val="auto"/>
          <w:sz w:val="24"/>
        </w:rPr>
        <w:t>本合同执行中相关的税费按照国家相关规定执行。</w:t>
      </w:r>
    </w:p>
    <w:p>
      <w:pPr>
        <w:pStyle w:val="24"/>
        <w:snapToGrid w:val="0"/>
        <w:spacing w:before="231" w:after="231" w:line="380" w:lineRule="exact"/>
        <w:rPr>
          <w:rFonts w:hAnsi="宋体" w:cs="宋体"/>
          <w:b/>
          <w:color w:val="auto"/>
          <w:sz w:val="24"/>
          <w:szCs w:val="24"/>
        </w:rPr>
      </w:pPr>
      <w:r>
        <w:rPr>
          <w:rFonts w:hint="eastAsia" w:hAnsi="宋体" w:cs="宋体"/>
          <w:b/>
          <w:color w:val="auto"/>
          <w:sz w:val="24"/>
          <w:szCs w:val="24"/>
        </w:rPr>
        <w:t>十一、验收</w:t>
      </w:r>
    </w:p>
    <w:p>
      <w:pPr>
        <w:pStyle w:val="24"/>
        <w:snapToGrid w:val="0"/>
        <w:spacing w:before="231" w:after="231"/>
        <w:ind w:firstLine="480" w:firstLineChars="200"/>
        <w:rPr>
          <w:rFonts w:hAnsi="宋体" w:cs="宋体"/>
          <w:color w:val="auto"/>
          <w:sz w:val="24"/>
          <w:szCs w:val="24"/>
        </w:rPr>
      </w:pPr>
      <w:r>
        <w:rPr>
          <w:rFonts w:hint="eastAsia" w:hAnsi="宋体" w:cs="宋体"/>
          <w:color w:val="auto"/>
          <w:sz w:val="24"/>
          <w:szCs w:val="24"/>
        </w:rPr>
        <w:t>验收时乙方必须在现场，验收完毕后作出验收结果报告；验收费用由乙方负责。</w:t>
      </w:r>
    </w:p>
    <w:p>
      <w:pPr>
        <w:pStyle w:val="24"/>
        <w:snapToGrid w:val="0"/>
        <w:spacing w:before="231" w:after="231" w:line="380" w:lineRule="exact"/>
        <w:rPr>
          <w:rFonts w:hAnsi="宋体" w:cs="宋体"/>
          <w:b/>
          <w:color w:val="auto"/>
          <w:sz w:val="24"/>
          <w:szCs w:val="24"/>
        </w:rPr>
      </w:pPr>
      <w:r>
        <w:rPr>
          <w:rFonts w:hint="eastAsia" w:hAnsi="宋体" w:cs="宋体"/>
          <w:b/>
          <w:color w:val="auto"/>
          <w:sz w:val="24"/>
          <w:szCs w:val="24"/>
        </w:rPr>
        <w:t>十二、违约责任</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1. 甲方无正当理由拒收，甲方向乙方偿付拒收服务款总值的万分之五违约金。</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2. 甲方无故逾期验收和办理服务款支付手续的,甲方应按逾期付款总额每日万分之五向乙方支付违约金。</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 xml:space="preserve">3. 乙方逾期交付的，乙方应按每日1000元向甲方支付违约金，由甲方从待付服务款中扣除。逾期超过约定日期一个月不能完成的，甲方可解除本合同。乙方因逾期完成或因其他违约行为导致甲方解除合同的，乙方应向甲方支付合同总值5%的违约金（不含逾期交付的，乙方应按每日1000元向甲方支付违约金。），如造成甲方损失超过违约金的，超出部分由乙方继续承担赔偿责任。 </w:t>
      </w:r>
    </w:p>
    <w:p>
      <w:pPr>
        <w:pStyle w:val="24"/>
        <w:snapToGrid w:val="0"/>
        <w:spacing w:before="231" w:after="231" w:line="380" w:lineRule="exact"/>
        <w:rPr>
          <w:rFonts w:hAnsi="宋体" w:cs="宋体"/>
          <w:b/>
          <w:color w:val="auto"/>
          <w:sz w:val="24"/>
          <w:szCs w:val="24"/>
        </w:rPr>
      </w:pPr>
      <w:r>
        <w:rPr>
          <w:rFonts w:hint="eastAsia" w:hAnsi="宋体" w:cs="宋体"/>
          <w:b/>
          <w:color w:val="auto"/>
          <w:sz w:val="24"/>
          <w:szCs w:val="24"/>
        </w:rPr>
        <w:t>十三、不可抗力事件处理</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1. 在合同有效期内，任何一方因不可抗力事件导致不能履行合同，则合同履行期可延长，其延长期与不可抗力影响期相同。</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2. 不可抗力事件发生后，应立即通知对方，并寄送有关权威机构出具的证明。</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3. 不可抗力事件延续120天以上，双方应通过友好协商，确定是否继续履行合同。</w:t>
      </w:r>
    </w:p>
    <w:p>
      <w:pPr>
        <w:pStyle w:val="24"/>
        <w:snapToGrid w:val="0"/>
        <w:spacing w:before="231" w:after="231" w:line="380" w:lineRule="exact"/>
        <w:rPr>
          <w:rFonts w:hAnsi="宋体" w:cs="宋体"/>
          <w:b/>
          <w:color w:val="auto"/>
          <w:sz w:val="24"/>
          <w:szCs w:val="24"/>
        </w:rPr>
      </w:pPr>
      <w:r>
        <w:rPr>
          <w:rFonts w:hint="eastAsia" w:hAnsi="宋体" w:cs="宋体"/>
          <w:b/>
          <w:color w:val="auto"/>
          <w:sz w:val="24"/>
          <w:szCs w:val="24"/>
        </w:rPr>
        <w:t>十四、诉讼</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 xml:space="preserve"> 双方在执行合同中所发生的一切争议，应通过协商解决。如协商不成，可向甲方所在地法院起诉。</w:t>
      </w:r>
    </w:p>
    <w:p>
      <w:pPr>
        <w:pStyle w:val="24"/>
        <w:snapToGrid w:val="0"/>
        <w:spacing w:before="231" w:after="231" w:line="380" w:lineRule="exact"/>
        <w:rPr>
          <w:rFonts w:hAnsi="宋体" w:cs="宋体"/>
          <w:b/>
          <w:color w:val="auto"/>
          <w:sz w:val="24"/>
          <w:szCs w:val="24"/>
        </w:rPr>
      </w:pPr>
      <w:r>
        <w:rPr>
          <w:rFonts w:hint="eastAsia" w:hAnsi="宋体" w:cs="宋体"/>
          <w:b/>
          <w:color w:val="auto"/>
          <w:sz w:val="24"/>
          <w:szCs w:val="24"/>
        </w:rPr>
        <w:t>十五、合同生效及其它</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1. 合同经双方法定代表人或授权代表签字并加盖单位公章后生效。</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2.合同执行中涉及采购资金和采购内容修改或补充的，须经有关部门审批，并签书面补充协议报政府采购监督管理部门备案，方可作为主合同不可分割的一部分。</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3.本合同未尽事宜，遵照《民法典》有关条文执行。</w:t>
      </w:r>
    </w:p>
    <w:p>
      <w:pPr>
        <w:pStyle w:val="24"/>
        <w:snapToGrid w:val="0"/>
        <w:spacing w:before="231" w:after="231" w:line="380" w:lineRule="exact"/>
        <w:ind w:firstLine="480" w:firstLineChars="200"/>
        <w:rPr>
          <w:rFonts w:hAnsi="宋体" w:cs="宋体"/>
          <w:bCs/>
          <w:color w:val="auto"/>
          <w:sz w:val="24"/>
          <w:szCs w:val="24"/>
        </w:rPr>
      </w:pPr>
      <w:r>
        <w:rPr>
          <w:rFonts w:hint="eastAsia" w:hAnsi="宋体" w:cs="宋体"/>
          <w:bCs/>
          <w:color w:val="auto"/>
          <w:sz w:val="24"/>
          <w:szCs w:val="24"/>
        </w:rPr>
        <w:t>4.本合同一式陆份，具有同等法律效力，甲乙双方各执二份；两份用于备案及存档。</w:t>
      </w:r>
    </w:p>
    <w:p>
      <w:pPr>
        <w:pStyle w:val="24"/>
        <w:snapToGrid w:val="0"/>
        <w:spacing w:before="120" w:after="120" w:line="360" w:lineRule="auto"/>
        <w:rPr>
          <w:rFonts w:hAnsi="宋体" w:cs="宋体"/>
          <w:color w:val="auto"/>
          <w:sz w:val="24"/>
          <w:szCs w:val="24"/>
        </w:rPr>
      </w:pPr>
    </w:p>
    <w:p>
      <w:pPr>
        <w:pStyle w:val="24"/>
        <w:snapToGrid w:val="0"/>
        <w:spacing w:before="120" w:after="120" w:line="360" w:lineRule="auto"/>
        <w:rPr>
          <w:rFonts w:hAnsi="宋体" w:cs="宋体"/>
          <w:color w:val="auto"/>
          <w:sz w:val="24"/>
          <w:szCs w:val="24"/>
        </w:rPr>
      </w:pPr>
      <w:r>
        <w:rPr>
          <w:rFonts w:hint="eastAsia" w:hAnsi="宋体" w:cs="宋体"/>
          <w:color w:val="auto"/>
          <w:sz w:val="24"/>
          <w:szCs w:val="24"/>
        </w:rPr>
        <w:t xml:space="preserve">  招标人：                                   乙方： </w:t>
      </w:r>
    </w:p>
    <w:p>
      <w:pPr>
        <w:pStyle w:val="24"/>
        <w:snapToGrid w:val="0"/>
        <w:spacing w:before="120" w:after="120" w:line="360" w:lineRule="auto"/>
        <w:rPr>
          <w:rFonts w:hAnsi="宋体" w:cs="宋体"/>
          <w:color w:val="auto"/>
          <w:sz w:val="24"/>
          <w:szCs w:val="24"/>
        </w:rPr>
      </w:pPr>
      <w:r>
        <w:rPr>
          <w:rFonts w:hint="eastAsia" w:hAnsi="宋体" w:cs="宋体"/>
          <w:color w:val="auto"/>
          <w:sz w:val="24"/>
          <w:szCs w:val="24"/>
        </w:rPr>
        <w:t xml:space="preserve">  地址：                                     地址： </w:t>
      </w:r>
    </w:p>
    <w:p>
      <w:pPr>
        <w:pStyle w:val="24"/>
        <w:snapToGrid w:val="0"/>
        <w:spacing w:before="120" w:after="120" w:line="360" w:lineRule="auto"/>
        <w:rPr>
          <w:rFonts w:hAnsi="宋体" w:cs="宋体"/>
          <w:color w:val="auto"/>
          <w:sz w:val="24"/>
          <w:szCs w:val="24"/>
        </w:rPr>
      </w:pPr>
      <w:r>
        <w:rPr>
          <w:rFonts w:hint="eastAsia" w:hAnsi="宋体" w:cs="宋体"/>
          <w:color w:val="auto"/>
          <w:sz w:val="24"/>
          <w:szCs w:val="24"/>
        </w:rPr>
        <w:t xml:space="preserve">  法定（授权）代表人：                       法定（授权）代表人：</w:t>
      </w:r>
    </w:p>
    <w:p>
      <w:pPr>
        <w:pStyle w:val="24"/>
        <w:snapToGrid w:val="0"/>
        <w:spacing w:before="120" w:after="120" w:line="360" w:lineRule="auto"/>
        <w:rPr>
          <w:rFonts w:hAnsi="宋体"/>
          <w:color w:val="auto"/>
          <w:sz w:val="24"/>
          <w:szCs w:val="24"/>
        </w:rPr>
      </w:pPr>
      <w:r>
        <w:rPr>
          <w:rFonts w:hint="eastAsia" w:hAnsi="宋体" w:cs="宋体"/>
          <w:color w:val="auto"/>
          <w:sz w:val="24"/>
          <w:szCs w:val="24"/>
        </w:rPr>
        <w:t xml:space="preserve">  签字日期：   年  月  日                    签字日期：   年  月  日</w:t>
      </w:r>
    </w:p>
    <w:p>
      <w:pPr>
        <w:pStyle w:val="58"/>
        <w:ind w:firstLine="480"/>
        <w:rPr>
          <w:color w:val="auto"/>
        </w:rPr>
      </w:pPr>
    </w:p>
    <w:p>
      <w:pPr>
        <w:jc w:val="center"/>
        <w:rPr>
          <w:b/>
          <w:bCs/>
          <w:color w:val="auto"/>
          <w:sz w:val="36"/>
          <w:szCs w:val="36"/>
        </w:rPr>
      </w:pPr>
    </w:p>
    <w:p>
      <w:pPr>
        <w:jc w:val="center"/>
        <w:rPr>
          <w:color w:val="auto"/>
          <w:sz w:val="24"/>
        </w:rPr>
      </w:pPr>
      <w:r>
        <w:rPr>
          <w:rFonts w:hint="eastAsia"/>
          <w:b/>
          <w:bCs/>
          <w:color w:val="auto"/>
          <w:sz w:val="36"/>
          <w:szCs w:val="36"/>
        </w:rPr>
        <w:t>安全合同</w:t>
      </w:r>
    </w:p>
    <w:p>
      <w:pPr>
        <w:spacing w:line="500" w:lineRule="exact"/>
        <w:ind w:firstLine="480" w:firstLineChars="200"/>
        <w:rPr>
          <w:color w:val="auto"/>
          <w:sz w:val="24"/>
        </w:rPr>
      </w:pPr>
      <w:r>
        <w:rPr>
          <w:rFonts w:hint="eastAsia"/>
          <w:color w:val="auto"/>
          <w:sz w:val="24"/>
        </w:rPr>
        <w:t xml:space="preserve">为在 </w:t>
      </w:r>
      <w:r>
        <w:rPr>
          <w:rFonts w:hint="eastAsia"/>
          <w:color w:val="auto"/>
          <w:sz w:val="24"/>
          <w:u w:val="single"/>
        </w:rPr>
        <w:t xml:space="preserve">                    </w:t>
      </w:r>
      <w:r>
        <w:rPr>
          <w:rFonts w:hint="eastAsia"/>
          <w:color w:val="auto"/>
          <w:sz w:val="24"/>
        </w:rPr>
        <w:t>合同的实施过程中创造安全、高效的环境，切实搞好本项目的安全管理工作，本项目</w:t>
      </w:r>
      <w:r>
        <w:rPr>
          <w:rFonts w:hint="eastAsia"/>
          <w:color w:val="auto"/>
          <w:sz w:val="24"/>
          <w:u w:val="single"/>
        </w:rPr>
        <w:t xml:space="preserve">       </w:t>
      </w:r>
      <w:r>
        <w:rPr>
          <w:rFonts w:hint="eastAsia"/>
          <w:color w:val="auto"/>
          <w:sz w:val="24"/>
        </w:rPr>
        <w:t xml:space="preserve">（以下简称“甲方”）与 </w:t>
      </w:r>
      <w:r>
        <w:rPr>
          <w:rFonts w:hint="eastAsia"/>
          <w:color w:val="auto"/>
          <w:sz w:val="24"/>
          <w:u w:val="single"/>
        </w:rPr>
        <w:t xml:space="preserve">            </w:t>
      </w:r>
      <w:r>
        <w:rPr>
          <w:rFonts w:hint="eastAsia"/>
          <w:color w:val="auto"/>
          <w:sz w:val="24"/>
        </w:rPr>
        <w:t>（以下简称“乙方”）特此签订安全合同：</w:t>
      </w:r>
    </w:p>
    <w:p>
      <w:pPr>
        <w:spacing w:line="500" w:lineRule="exact"/>
        <w:ind w:firstLine="480" w:firstLineChars="200"/>
        <w:rPr>
          <w:color w:val="auto"/>
          <w:sz w:val="24"/>
        </w:rPr>
      </w:pPr>
      <w:r>
        <w:rPr>
          <w:rFonts w:hint="eastAsia"/>
          <w:color w:val="auto"/>
          <w:sz w:val="24"/>
        </w:rPr>
        <w:t>一、甲方职责</w:t>
      </w:r>
    </w:p>
    <w:p>
      <w:pPr>
        <w:spacing w:line="500" w:lineRule="exact"/>
        <w:ind w:firstLine="480" w:firstLineChars="200"/>
        <w:rPr>
          <w:color w:val="auto"/>
          <w:sz w:val="24"/>
        </w:rPr>
      </w:pPr>
      <w:r>
        <w:rPr>
          <w:rFonts w:hint="eastAsia"/>
          <w:color w:val="auto"/>
          <w:sz w:val="24"/>
        </w:rPr>
        <w:t>1、严格遵守国家有关安全生产的法律法规，认真执行合同中的有关安全要求。</w:t>
      </w:r>
    </w:p>
    <w:p>
      <w:pPr>
        <w:spacing w:line="500" w:lineRule="exact"/>
        <w:ind w:firstLine="480" w:firstLineChars="200"/>
        <w:rPr>
          <w:color w:val="auto"/>
          <w:sz w:val="24"/>
        </w:rPr>
      </w:pPr>
      <w:r>
        <w:rPr>
          <w:rFonts w:hint="eastAsia"/>
          <w:color w:val="auto"/>
          <w:sz w:val="24"/>
        </w:rPr>
        <w:t>2、按照“安全第一、预防为主”的原则进行安全管理。</w:t>
      </w:r>
    </w:p>
    <w:p>
      <w:pPr>
        <w:spacing w:line="500" w:lineRule="exact"/>
        <w:ind w:firstLine="480" w:firstLineChars="200"/>
        <w:rPr>
          <w:color w:val="auto"/>
          <w:sz w:val="24"/>
        </w:rPr>
      </w:pPr>
      <w:r>
        <w:rPr>
          <w:rFonts w:hint="eastAsia"/>
          <w:color w:val="auto"/>
          <w:sz w:val="24"/>
        </w:rPr>
        <w:t>3、组织对乙方项目服务现场安全检查，监督乙方及时发现并处理各种安全隐患。</w:t>
      </w:r>
    </w:p>
    <w:p>
      <w:pPr>
        <w:spacing w:line="500" w:lineRule="exact"/>
        <w:ind w:firstLine="480" w:firstLineChars="200"/>
        <w:rPr>
          <w:color w:val="auto"/>
          <w:sz w:val="24"/>
        </w:rPr>
      </w:pPr>
      <w:r>
        <w:rPr>
          <w:rFonts w:hint="eastAsia"/>
          <w:color w:val="auto"/>
          <w:sz w:val="24"/>
        </w:rPr>
        <w:t>二、乙方职责</w:t>
      </w:r>
    </w:p>
    <w:p>
      <w:pPr>
        <w:spacing w:line="500" w:lineRule="exact"/>
        <w:ind w:firstLine="480" w:firstLineChars="200"/>
        <w:rPr>
          <w:color w:val="auto"/>
          <w:sz w:val="24"/>
        </w:rPr>
      </w:pPr>
      <w:r>
        <w:rPr>
          <w:rFonts w:hint="eastAsia"/>
          <w:color w:val="auto"/>
          <w:sz w:val="24"/>
        </w:rPr>
        <w:t>1、严格遵守国家有关安全生产的法律法规、相关部门颁发的有关安全生产的规定，认真执行项目服务合同中的有关安全要求。</w:t>
      </w:r>
    </w:p>
    <w:p>
      <w:pPr>
        <w:spacing w:line="500" w:lineRule="exact"/>
        <w:ind w:firstLine="480" w:firstLineChars="200"/>
        <w:rPr>
          <w:color w:val="auto"/>
          <w:sz w:val="24"/>
        </w:rPr>
      </w:pPr>
      <w:r>
        <w:rPr>
          <w:rFonts w:hint="eastAsia"/>
          <w:color w:val="auto"/>
          <w:sz w:val="24"/>
        </w:rPr>
        <w:t>2、坚持“安全第一、预防为主”的原则，加强安全宣传教育，增强全员安全意识，建立健全的安全管理机构和安全管理制度，配备专职及兼职安全检查人员，有组织有领导地开展活动。各级领导和具体服务人员，必须熟悉和遵守本条款的各项规定，做到服务与安全工作同时计划、布置、检查、总结和评比。</w:t>
      </w:r>
    </w:p>
    <w:p>
      <w:pPr>
        <w:spacing w:line="500" w:lineRule="exact"/>
        <w:ind w:firstLine="480" w:firstLineChars="200"/>
        <w:rPr>
          <w:color w:val="auto"/>
          <w:sz w:val="24"/>
        </w:rPr>
      </w:pPr>
      <w:r>
        <w:rPr>
          <w:rFonts w:hint="eastAsia"/>
          <w:color w:val="auto"/>
          <w:sz w:val="24"/>
        </w:rPr>
        <w:t>3、建立健全安全责任制。从派往项目实施的项目负责人、现场管理人员到安装技术人员的安全生产管理系统必须做到纵向到底，一环不漏；各职能部门、人员的安全生产责任制做到横向到边，人人有责。项目负责人是安全的第一责任人。</w:t>
      </w:r>
    </w:p>
    <w:p>
      <w:pPr>
        <w:spacing w:line="500" w:lineRule="exact"/>
        <w:ind w:firstLine="480" w:firstLineChars="200"/>
        <w:rPr>
          <w:color w:val="auto"/>
          <w:sz w:val="24"/>
        </w:rPr>
      </w:pPr>
      <w:r>
        <w:rPr>
          <w:rFonts w:hint="eastAsia"/>
          <w:color w:val="auto"/>
          <w:sz w:val="24"/>
        </w:rPr>
        <w:t>4、乙方在任何时候都应采取各种合理的预防措施，防止其员工发生任何违法、违禁、暴力或防碍治安的行为。</w:t>
      </w:r>
    </w:p>
    <w:p>
      <w:pPr>
        <w:spacing w:line="500" w:lineRule="exact"/>
        <w:ind w:firstLine="480" w:firstLineChars="200"/>
        <w:rPr>
          <w:color w:val="auto"/>
          <w:sz w:val="24"/>
        </w:rPr>
      </w:pPr>
      <w:r>
        <w:rPr>
          <w:rFonts w:hint="eastAsia"/>
          <w:color w:val="auto"/>
          <w:sz w:val="24"/>
        </w:rPr>
        <w:t>5、服务人员上岗，必须按规定穿戴防护用品。项目负责人和现场管理人员应随时检查防护用品的穿戴情况，不按规定穿戴防护用品的人员不得上岗。</w:t>
      </w:r>
    </w:p>
    <w:p>
      <w:pPr>
        <w:spacing w:line="500" w:lineRule="exact"/>
        <w:ind w:firstLine="480" w:firstLineChars="200"/>
        <w:rPr>
          <w:color w:val="auto"/>
          <w:sz w:val="24"/>
        </w:rPr>
      </w:pPr>
      <w:r>
        <w:rPr>
          <w:rFonts w:hint="eastAsia"/>
          <w:color w:val="auto"/>
          <w:sz w:val="24"/>
        </w:rPr>
        <w:t>6、所有机具设备均应定期检查，并有签字记录，保证其经常处于完好状态；不合格的机具、设备和劳动保护用品严禁使用。</w:t>
      </w:r>
    </w:p>
    <w:p>
      <w:pPr>
        <w:spacing w:line="500" w:lineRule="exact"/>
        <w:ind w:firstLine="480" w:firstLineChars="200"/>
        <w:rPr>
          <w:color w:val="auto"/>
          <w:sz w:val="24"/>
        </w:rPr>
      </w:pPr>
      <w:r>
        <w:rPr>
          <w:rFonts w:hint="eastAsia"/>
          <w:color w:val="auto"/>
          <w:sz w:val="24"/>
        </w:rPr>
        <w:t>7、乙方应对安全技术资料建立档案，安全技术资料应当真实、完整齐全。</w:t>
      </w:r>
    </w:p>
    <w:p>
      <w:pPr>
        <w:spacing w:line="500" w:lineRule="exact"/>
        <w:ind w:firstLine="480" w:firstLineChars="200"/>
        <w:rPr>
          <w:color w:val="auto"/>
          <w:sz w:val="24"/>
        </w:rPr>
      </w:pPr>
      <w:r>
        <w:rPr>
          <w:rFonts w:hint="eastAsia"/>
          <w:color w:val="auto"/>
          <w:sz w:val="24"/>
        </w:rPr>
        <w:t>8、乙方应当接受甲方及政府安全监督机构对其安全生产的监督检查。对于检查单位下达的整改意见通知，乙方要立即予以整改，由此发生的费用乙方自负。</w:t>
      </w:r>
    </w:p>
    <w:p>
      <w:pPr>
        <w:spacing w:line="500" w:lineRule="exact"/>
        <w:ind w:firstLine="480" w:firstLineChars="200"/>
        <w:rPr>
          <w:color w:val="auto"/>
          <w:sz w:val="24"/>
        </w:rPr>
      </w:pPr>
      <w:r>
        <w:rPr>
          <w:rFonts w:hint="eastAsia"/>
          <w:color w:val="auto"/>
          <w:sz w:val="24"/>
        </w:rPr>
        <w:t>9、乙方必须按照本项目特点，组织制定本项目实施中的安全事故应急救援预案；如果发生安全事故，应按照《国务院关于特大安全事故行政责任追究的规定》以及其它有关规定，及时上报有关部门，并坚持“三不放过”的原则，严肃处理相关责任人。</w:t>
      </w:r>
    </w:p>
    <w:p>
      <w:pPr>
        <w:spacing w:line="500" w:lineRule="exact"/>
        <w:ind w:firstLine="480" w:firstLineChars="200"/>
        <w:rPr>
          <w:color w:val="auto"/>
          <w:sz w:val="24"/>
        </w:rPr>
      </w:pPr>
      <w:r>
        <w:rPr>
          <w:rFonts w:hint="eastAsia"/>
          <w:color w:val="auto"/>
          <w:sz w:val="24"/>
        </w:rPr>
        <w:t>10、发生重大伤亡及其他安全事故，乙方应按有关规定立即上报有关部门并通知甲方，同时按政府有关部门要求处理。</w:t>
      </w:r>
    </w:p>
    <w:p>
      <w:pPr>
        <w:spacing w:line="500" w:lineRule="exact"/>
        <w:ind w:firstLine="480" w:firstLineChars="200"/>
        <w:rPr>
          <w:color w:val="auto"/>
          <w:sz w:val="24"/>
        </w:rPr>
      </w:pPr>
      <w:r>
        <w:rPr>
          <w:rFonts w:hint="eastAsia"/>
          <w:color w:val="auto"/>
          <w:sz w:val="24"/>
        </w:rPr>
        <w:t xml:space="preserve">三、违约责任 </w:t>
      </w:r>
    </w:p>
    <w:p>
      <w:pPr>
        <w:spacing w:line="500" w:lineRule="exact"/>
        <w:ind w:firstLine="480" w:firstLineChars="200"/>
        <w:rPr>
          <w:color w:val="auto"/>
          <w:sz w:val="24"/>
        </w:rPr>
      </w:pPr>
      <w:r>
        <w:rPr>
          <w:rFonts w:hint="eastAsia"/>
          <w:color w:val="auto"/>
          <w:sz w:val="24"/>
        </w:rPr>
        <w:t>1、乙方应对发生在本项目服务期间的交通安全、安全事故（包括人损）负全部法律责任，并承担由此而产生的一切经济损失。</w:t>
      </w:r>
    </w:p>
    <w:p>
      <w:pPr>
        <w:spacing w:line="500" w:lineRule="exact"/>
        <w:ind w:firstLine="480" w:firstLineChars="200"/>
        <w:rPr>
          <w:color w:val="auto"/>
          <w:sz w:val="24"/>
        </w:rPr>
      </w:pPr>
      <w:r>
        <w:rPr>
          <w:rFonts w:hint="eastAsia"/>
          <w:color w:val="auto"/>
          <w:sz w:val="24"/>
        </w:rPr>
        <w:t>2、如乙方发生安全事故不及时妥善处理，引起纠纷或诉讼，甲方有权扣留其履约保证金和未付合同款用于支付事故处理费用。</w:t>
      </w:r>
    </w:p>
    <w:p>
      <w:pPr>
        <w:spacing w:line="500" w:lineRule="exact"/>
        <w:ind w:firstLine="480" w:firstLineChars="200"/>
        <w:rPr>
          <w:rFonts w:eastAsiaTheme="minorEastAsia"/>
          <w:color w:val="auto"/>
          <w:sz w:val="24"/>
        </w:rPr>
      </w:pPr>
      <w:r>
        <w:rPr>
          <w:rFonts w:hint="eastAsia"/>
          <w:color w:val="auto"/>
          <w:sz w:val="24"/>
        </w:rPr>
        <w:t>3、本合同一式肆份，正本二份、副本二份，甲、乙双方各执二份。由双方法定代表人或其授权的代理人签署与加盖公章后生效，甲、乙双方所签定的安全合同的时效与服务合同时效等同。</w:t>
      </w:r>
    </w:p>
    <w:p>
      <w:pPr>
        <w:pStyle w:val="24"/>
        <w:snapToGrid w:val="0"/>
        <w:spacing w:before="120" w:after="120" w:line="500" w:lineRule="exact"/>
        <w:rPr>
          <w:rFonts w:hAnsi="宋体" w:cs="宋体"/>
          <w:color w:val="auto"/>
          <w:sz w:val="24"/>
          <w:szCs w:val="24"/>
        </w:rPr>
      </w:pPr>
    </w:p>
    <w:p>
      <w:pPr>
        <w:pStyle w:val="24"/>
        <w:snapToGrid w:val="0"/>
        <w:spacing w:before="120" w:after="120" w:line="500" w:lineRule="exact"/>
        <w:rPr>
          <w:rFonts w:hAnsi="宋体" w:cs="宋体"/>
          <w:color w:val="auto"/>
          <w:sz w:val="24"/>
          <w:szCs w:val="24"/>
        </w:rPr>
      </w:pPr>
    </w:p>
    <w:p>
      <w:pPr>
        <w:pStyle w:val="24"/>
        <w:snapToGrid w:val="0"/>
        <w:spacing w:before="120" w:after="120" w:line="500" w:lineRule="exact"/>
        <w:rPr>
          <w:rFonts w:hAnsi="宋体" w:cs="宋体"/>
          <w:color w:val="auto"/>
          <w:sz w:val="24"/>
          <w:szCs w:val="24"/>
        </w:rPr>
      </w:pPr>
    </w:p>
    <w:p>
      <w:pPr>
        <w:pStyle w:val="24"/>
        <w:snapToGrid w:val="0"/>
        <w:spacing w:before="120" w:after="120" w:line="500" w:lineRule="exact"/>
        <w:rPr>
          <w:rFonts w:hAnsi="宋体" w:cs="宋体"/>
          <w:color w:val="auto"/>
          <w:sz w:val="24"/>
          <w:szCs w:val="24"/>
        </w:rPr>
      </w:pPr>
      <w:r>
        <w:rPr>
          <w:rFonts w:hint="eastAsia" w:hAnsi="宋体" w:cs="宋体"/>
          <w:color w:val="auto"/>
          <w:sz w:val="24"/>
          <w:szCs w:val="24"/>
        </w:rPr>
        <w:t xml:space="preserve">    甲方：                                     乙方： </w:t>
      </w:r>
    </w:p>
    <w:p>
      <w:pPr>
        <w:pStyle w:val="24"/>
        <w:snapToGrid w:val="0"/>
        <w:spacing w:before="120" w:after="120" w:line="500" w:lineRule="exact"/>
        <w:rPr>
          <w:rFonts w:hAnsi="宋体" w:cs="宋体"/>
          <w:color w:val="auto"/>
          <w:sz w:val="24"/>
          <w:szCs w:val="24"/>
        </w:rPr>
      </w:pPr>
      <w:r>
        <w:rPr>
          <w:rFonts w:hint="eastAsia" w:hAnsi="宋体" w:cs="宋体"/>
          <w:color w:val="auto"/>
          <w:sz w:val="24"/>
          <w:szCs w:val="24"/>
        </w:rPr>
        <w:t xml:space="preserve">    地址：                                     地址： </w:t>
      </w:r>
    </w:p>
    <w:p>
      <w:pPr>
        <w:pStyle w:val="24"/>
        <w:snapToGrid w:val="0"/>
        <w:spacing w:before="120" w:after="120" w:line="500" w:lineRule="exact"/>
        <w:rPr>
          <w:rFonts w:hAnsi="宋体" w:cs="宋体"/>
          <w:color w:val="auto"/>
          <w:sz w:val="24"/>
          <w:szCs w:val="24"/>
        </w:rPr>
      </w:pPr>
      <w:r>
        <w:rPr>
          <w:rFonts w:hint="eastAsia" w:hAnsi="宋体" w:cs="宋体"/>
          <w:color w:val="auto"/>
          <w:sz w:val="24"/>
          <w:szCs w:val="24"/>
        </w:rPr>
        <w:t xml:space="preserve">    法定（授权）代表人：                       法定（授权）代表人：</w:t>
      </w:r>
    </w:p>
    <w:p>
      <w:pPr>
        <w:pStyle w:val="24"/>
        <w:snapToGrid w:val="0"/>
        <w:spacing w:before="120" w:after="120" w:line="500" w:lineRule="exact"/>
        <w:rPr>
          <w:rFonts w:hAnsi="宋体" w:cs="宋体"/>
          <w:color w:val="auto"/>
          <w:sz w:val="24"/>
          <w:szCs w:val="24"/>
        </w:rPr>
        <w:sectPr>
          <w:pgSz w:w="11906" w:h="16838"/>
          <w:pgMar w:top="1247" w:right="1385" w:bottom="1134" w:left="1281" w:header="851" w:footer="992" w:gutter="0"/>
          <w:cols w:space="720" w:num="1"/>
          <w:docGrid w:type="linesAndChars" w:linePitch="312" w:charSpace="0"/>
        </w:sectPr>
      </w:pPr>
      <w:r>
        <w:rPr>
          <w:rFonts w:hint="eastAsia" w:hAnsi="宋体" w:cs="宋体"/>
          <w:color w:val="auto"/>
          <w:sz w:val="24"/>
          <w:szCs w:val="24"/>
        </w:rPr>
        <w:t xml:space="preserve">    签字日期：   年  月  日                    签字日期：   年  月  日</w:t>
      </w:r>
    </w:p>
    <w:p>
      <w:pPr>
        <w:numPr>
          <w:ilvl w:val="0"/>
          <w:numId w:val="6"/>
        </w:numPr>
        <w:jc w:val="center"/>
        <w:outlineLvl w:val="0"/>
        <w:rPr>
          <w:rFonts w:ascii="宋体" w:hAnsi="宋体" w:cs="宋体"/>
          <w:b/>
          <w:bCs/>
          <w:color w:val="auto"/>
          <w:kern w:val="44"/>
          <w:sz w:val="44"/>
          <w:szCs w:val="44"/>
        </w:rPr>
      </w:pPr>
      <w:bookmarkStart w:id="573" w:name="_Toc20382"/>
      <w:r>
        <w:rPr>
          <w:rFonts w:hint="eastAsia" w:ascii="宋体" w:hAnsi="宋体" w:cs="宋体"/>
          <w:b/>
          <w:bCs/>
          <w:color w:val="auto"/>
          <w:kern w:val="44"/>
          <w:sz w:val="44"/>
          <w:szCs w:val="44"/>
        </w:rPr>
        <w:t>服务需求</w:t>
      </w:r>
      <w:bookmarkEnd w:id="573"/>
    </w:p>
    <w:p>
      <w:pPr>
        <w:pStyle w:val="24"/>
        <w:snapToGrid w:val="0"/>
        <w:spacing w:before="120" w:after="120" w:line="440" w:lineRule="exact"/>
        <w:rPr>
          <w:rFonts w:hAnsi="宋体"/>
          <w:color w:val="auto"/>
          <w:sz w:val="24"/>
          <w:szCs w:val="24"/>
        </w:rPr>
      </w:pPr>
      <w:r>
        <w:rPr>
          <w:rFonts w:hint="eastAsia" w:hAnsi="宋体"/>
          <w:color w:val="auto"/>
          <w:sz w:val="24"/>
          <w:szCs w:val="24"/>
        </w:rPr>
        <w:t>1、</w:t>
      </w:r>
      <w:r>
        <w:rPr>
          <w:rFonts w:hAnsi="宋体"/>
          <w:color w:val="auto"/>
          <w:sz w:val="24"/>
          <w:szCs w:val="24"/>
        </w:rPr>
        <w:t>项目背景：</w:t>
      </w:r>
    </w:p>
    <w:p>
      <w:pPr>
        <w:pStyle w:val="24"/>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Ansi="宋体"/>
          <w:color w:val="auto"/>
          <w:sz w:val="24"/>
          <w:szCs w:val="24"/>
        </w:rPr>
      </w:pPr>
      <w:r>
        <w:rPr>
          <w:rFonts w:hint="eastAsia" w:hAnsi="宋体"/>
          <w:color w:val="auto"/>
          <w:sz w:val="24"/>
          <w:szCs w:val="24"/>
        </w:rPr>
        <w:t xml:space="preserve">   近年来，随着我国经济社会的高速发展，资源要素日益趋紧，经济发展和资源保护的矛盾十分突出，国土资源违法违规用地行为频频发生，国土资源管理形势严峻。由于国土资源执法监管工作面广量大、任务繁重，目前传统的执法手段及执法队伍力量有限，导致一些违法用地行为未能第一时间发现并制止，影响了执法监察工作效率，增大了执法成本和社会影响面，不利于社会的和谐稳定。</w:t>
      </w:r>
    </w:p>
    <w:p>
      <w:pPr>
        <w:pStyle w:val="24"/>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Ansi="宋体"/>
          <w:color w:val="auto"/>
          <w:sz w:val="24"/>
          <w:szCs w:val="24"/>
        </w:rPr>
      </w:pPr>
      <w:r>
        <w:rPr>
          <w:rFonts w:hint="eastAsia" w:hAnsi="宋体"/>
          <w:color w:val="auto"/>
          <w:sz w:val="24"/>
          <w:szCs w:val="24"/>
        </w:rPr>
        <w:t xml:space="preserve">   “国土资源监控平台” 就是通过采用40米高度以上高空视频监控技术，实现全区大范围广域、实时监控。同时利用有线光纤网络，将分散、独立的图像采集点进行联网，实现跨地域、全范围内的统一监控、统一管理、分布式存储、资源共享。让管理者通过监控中心或者移动终端能随时掌握监控区域状况，实现预防性管理，同时也对违规用地者予以震慑。</w:t>
      </w:r>
    </w:p>
    <w:p>
      <w:pPr>
        <w:pStyle w:val="24"/>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Ansi="宋体"/>
          <w:color w:val="auto"/>
          <w:sz w:val="24"/>
          <w:szCs w:val="24"/>
        </w:rPr>
      </w:pPr>
      <w:r>
        <w:rPr>
          <w:rFonts w:hint="eastAsia" w:hAnsi="宋体"/>
          <w:color w:val="auto"/>
          <w:sz w:val="24"/>
          <w:szCs w:val="24"/>
        </w:rPr>
        <w:t>2、</w:t>
      </w:r>
      <w:r>
        <w:rPr>
          <w:rFonts w:hAnsi="宋体"/>
          <w:color w:val="auto"/>
          <w:sz w:val="24"/>
          <w:szCs w:val="24"/>
        </w:rPr>
        <w:t>全面覆盖</w:t>
      </w:r>
      <w:r>
        <w:rPr>
          <w:rFonts w:hint="eastAsia" w:hAnsi="宋体"/>
          <w:color w:val="auto"/>
          <w:sz w:val="24"/>
          <w:szCs w:val="24"/>
        </w:rPr>
        <w:t>（招标人前期</w:t>
      </w:r>
      <w:r>
        <w:rPr>
          <w:rFonts w:hint="eastAsia" w:hAnsi="宋体"/>
          <w:color w:val="auto"/>
          <w:sz w:val="24"/>
          <w:szCs w:val="24"/>
          <w:lang w:val="en-US" w:eastAsia="zh-CN"/>
        </w:rPr>
        <w:t>已完成对</w:t>
      </w:r>
      <w:r>
        <w:rPr>
          <w:rFonts w:hint="eastAsia" w:hAnsi="宋体"/>
          <w:color w:val="auto"/>
          <w:sz w:val="24"/>
          <w:szCs w:val="24"/>
        </w:rPr>
        <w:t>179个高空监控点位</w:t>
      </w:r>
      <w:r>
        <w:rPr>
          <w:rFonts w:hint="eastAsia" w:hAnsi="宋体"/>
          <w:color w:val="auto"/>
          <w:sz w:val="24"/>
          <w:szCs w:val="24"/>
          <w:lang w:val="en-US" w:eastAsia="zh-CN"/>
        </w:rPr>
        <w:t>的安装</w:t>
      </w:r>
      <w:r>
        <w:rPr>
          <w:rFonts w:hint="eastAsia" w:hAnsi="宋体"/>
          <w:color w:val="auto"/>
          <w:sz w:val="24"/>
          <w:szCs w:val="24"/>
        </w:rPr>
        <w:t>）</w:t>
      </w:r>
    </w:p>
    <w:p>
      <w:pPr>
        <w:pStyle w:val="24"/>
        <w:keepNext w:val="0"/>
        <w:keepLines w:val="0"/>
        <w:pageBreakBefore w:val="0"/>
        <w:widowControl w:val="0"/>
        <w:kinsoku/>
        <w:wordWrap/>
        <w:overflowPunct/>
        <w:topLinePunct w:val="0"/>
        <w:autoSpaceDE/>
        <w:autoSpaceDN/>
        <w:bidi w:val="0"/>
        <w:adjustRightInd/>
        <w:snapToGrid w:val="0"/>
        <w:spacing w:before="120" w:after="120" w:line="440" w:lineRule="exact"/>
        <w:textAlignment w:val="auto"/>
        <w:rPr>
          <w:rFonts w:hAnsi="宋体"/>
          <w:color w:val="auto"/>
          <w:sz w:val="24"/>
          <w:szCs w:val="24"/>
        </w:rPr>
      </w:pPr>
      <w:r>
        <w:rPr>
          <w:rFonts w:hint="eastAsia" w:hAnsi="宋体"/>
          <w:color w:val="auto"/>
          <w:sz w:val="24"/>
          <w:szCs w:val="24"/>
        </w:rPr>
        <w:t xml:space="preserve">    </w:t>
      </w:r>
      <w:r>
        <w:rPr>
          <w:rFonts w:hAnsi="宋体"/>
          <w:color w:val="auto"/>
          <w:sz w:val="24"/>
          <w:szCs w:val="24"/>
        </w:rPr>
        <w:t>要求每个监控点的摄像头能够360度旋转，</w:t>
      </w:r>
      <w:r>
        <w:rPr>
          <w:rFonts w:hint="eastAsia" w:hAnsi="宋体"/>
          <w:color w:val="auto"/>
          <w:sz w:val="24"/>
          <w:szCs w:val="24"/>
        </w:rPr>
        <w:t>每个点位安装</w:t>
      </w:r>
      <w:r>
        <w:rPr>
          <w:rFonts w:hAnsi="宋体"/>
          <w:color w:val="auto"/>
          <w:sz w:val="24"/>
          <w:szCs w:val="24"/>
        </w:rPr>
        <w:t>高度不</w:t>
      </w:r>
      <w:r>
        <w:rPr>
          <w:rFonts w:hint="eastAsia" w:hAnsi="宋体"/>
          <w:color w:val="auto"/>
          <w:sz w:val="24"/>
          <w:szCs w:val="24"/>
        </w:rPr>
        <w:t>得</w:t>
      </w:r>
      <w:r>
        <w:rPr>
          <w:rFonts w:hAnsi="宋体"/>
          <w:color w:val="auto"/>
          <w:sz w:val="24"/>
          <w:szCs w:val="24"/>
        </w:rPr>
        <w:t>低于</w:t>
      </w:r>
      <w:r>
        <w:rPr>
          <w:rFonts w:hint="eastAsia" w:hAnsi="宋体"/>
          <w:color w:val="auto"/>
          <w:sz w:val="24"/>
          <w:szCs w:val="24"/>
        </w:rPr>
        <w:t>40</w:t>
      </w:r>
      <w:r>
        <w:rPr>
          <w:rFonts w:hAnsi="宋体"/>
          <w:color w:val="auto"/>
          <w:sz w:val="24"/>
          <w:szCs w:val="24"/>
        </w:rPr>
        <w:t>米，</w:t>
      </w:r>
      <w:r>
        <w:rPr>
          <w:rFonts w:hint="eastAsia" w:hAnsi="宋体"/>
          <w:color w:val="auto"/>
          <w:sz w:val="24"/>
          <w:szCs w:val="24"/>
        </w:rPr>
        <w:t>从而实现</w:t>
      </w:r>
      <w:r>
        <w:rPr>
          <w:rFonts w:hAnsi="宋体"/>
          <w:color w:val="auto"/>
          <w:sz w:val="24"/>
          <w:szCs w:val="24"/>
        </w:rPr>
        <w:t>监控覆盖半径不低于2公里。</w:t>
      </w:r>
    </w:p>
    <w:p>
      <w:pPr>
        <w:pStyle w:val="24"/>
        <w:keepNext w:val="0"/>
        <w:keepLines w:val="0"/>
        <w:pageBreakBefore w:val="0"/>
        <w:widowControl w:val="0"/>
        <w:kinsoku/>
        <w:wordWrap/>
        <w:overflowPunct/>
        <w:topLinePunct w:val="0"/>
        <w:autoSpaceDE/>
        <w:autoSpaceDN/>
        <w:bidi w:val="0"/>
        <w:adjustRightInd/>
        <w:snapToGrid w:val="0"/>
        <w:spacing w:before="120" w:after="120" w:line="440" w:lineRule="exact"/>
        <w:ind w:firstLine="480"/>
        <w:textAlignment w:val="auto"/>
        <w:rPr>
          <w:rFonts w:hAnsi="宋体"/>
          <w:color w:val="auto"/>
          <w:sz w:val="24"/>
          <w:szCs w:val="24"/>
        </w:rPr>
      </w:pPr>
      <w:r>
        <w:rPr>
          <w:rFonts w:hAnsi="宋体"/>
          <w:color w:val="auto"/>
          <w:sz w:val="24"/>
          <w:szCs w:val="24"/>
        </w:rPr>
        <w:t>经现场勘查，结合每个监控点的覆盖范围</w:t>
      </w:r>
      <w:r>
        <w:rPr>
          <w:rFonts w:hint="eastAsia" w:hAnsi="宋体"/>
          <w:color w:val="auto"/>
          <w:sz w:val="24"/>
          <w:szCs w:val="24"/>
        </w:rPr>
        <w:t>及大丰重点监控区域</w:t>
      </w:r>
      <w:r>
        <w:rPr>
          <w:rFonts w:hAnsi="宋体"/>
          <w:color w:val="auto"/>
          <w:sz w:val="24"/>
          <w:szCs w:val="24"/>
        </w:rPr>
        <w:t>，初步选定</w:t>
      </w:r>
      <w:r>
        <w:rPr>
          <w:rFonts w:hint="eastAsia" w:hAnsi="宋体"/>
          <w:color w:val="auto"/>
          <w:sz w:val="24"/>
          <w:szCs w:val="24"/>
        </w:rPr>
        <w:t>179</w:t>
      </w:r>
      <w:r>
        <w:rPr>
          <w:rFonts w:hAnsi="宋体"/>
          <w:color w:val="auto"/>
          <w:sz w:val="24"/>
          <w:szCs w:val="24"/>
        </w:rPr>
        <w:t>个高空监控点位</w:t>
      </w:r>
      <w:r>
        <w:rPr>
          <w:rFonts w:hint="eastAsia" w:hAnsi="宋体"/>
          <w:color w:val="auto"/>
          <w:sz w:val="24"/>
          <w:szCs w:val="24"/>
        </w:rPr>
        <w:t>。</w:t>
      </w:r>
    </w:p>
    <w:tbl>
      <w:tblPr>
        <w:tblStyle w:val="45"/>
        <w:tblW w:w="4998" w:type="pct"/>
        <w:tblInd w:w="0" w:type="dxa"/>
        <w:tblLayout w:type="fixed"/>
        <w:tblCellMar>
          <w:top w:w="0" w:type="dxa"/>
          <w:left w:w="108" w:type="dxa"/>
          <w:bottom w:w="0" w:type="dxa"/>
          <w:right w:w="108" w:type="dxa"/>
        </w:tblCellMar>
      </w:tblPr>
      <w:tblGrid>
        <w:gridCol w:w="566"/>
        <w:gridCol w:w="923"/>
        <w:gridCol w:w="2318"/>
        <w:gridCol w:w="2183"/>
        <w:gridCol w:w="1955"/>
        <w:gridCol w:w="1507"/>
      </w:tblGrid>
      <w:tr>
        <w:tblPrEx>
          <w:tblCellMar>
            <w:top w:w="0" w:type="dxa"/>
            <w:left w:w="108" w:type="dxa"/>
            <w:bottom w:w="0" w:type="dxa"/>
            <w:right w:w="108" w:type="dxa"/>
          </w:tblCellMar>
        </w:tblPrEx>
        <w:trPr>
          <w:trHeight w:val="240" w:hRule="atLeast"/>
        </w:trPr>
        <w:tc>
          <w:tcPr>
            <w:tcW w:w="300" w:type="pct"/>
            <w:tcBorders>
              <w:top w:val="single" w:color="000000" w:sz="4" w:space="0"/>
              <w:left w:val="single" w:color="000000" w:sz="4" w:space="0"/>
              <w:bottom w:val="nil"/>
              <w:right w:val="single" w:color="000000" w:sz="4" w:space="0"/>
            </w:tcBorders>
            <w:shd w:val="clear" w:color="auto" w:fill="auto"/>
            <w:noWrap/>
            <w:vAlign w:val="bottom"/>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序号</w:t>
            </w:r>
          </w:p>
        </w:tc>
        <w:tc>
          <w:tcPr>
            <w:tcW w:w="488"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乡镇</w:t>
            </w:r>
          </w:p>
        </w:tc>
        <w:tc>
          <w:tcPr>
            <w:tcW w:w="1225"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基站名</w:t>
            </w:r>
          </w:p>
        </w:tc>
        <w:tc>
          <w:tcPr>
            <w:tcW w:w="1154"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经度（°）</w:t>
            </w:r>
          </w:p>
        </w:tc>
        <w:tc>
          <w:tcPr>
            <w:tcW w:w="1033"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纬度（°）</w:t>
            </w:r>
          </w:p>
        </w:tc>
        <w:tc>
          <w:tcPr>
            <w:tcW w:w="79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bottom"/>
              <w:rPr>
                <w:rFonts w:ascii="宋体" w:hAnsi="宋体" w:cs="宋体"/>
                <w:color w:val="auto"/>
                <w:sz w:val="20"/>
                <w:szCs w:val="20"/>
              </w:rPr>
            </w:pPr>
            <w:r>
              <w:rPr>
                <w:rFonts w:hint="eastAsia" w:ascii="宋体" w:hAnsi="宋体" w:cs="宋体"/>
                <w:color w:val="auto"/>
                <w:kern w:val="0"/>
                <w:sz w:val="20"/>
                <w:szCs w:val="20"/>
                <w:lang w:bidi="ar"/>
              </w:rPr>
              <w:t>备注</w:t>
            </w:r>
          </w:p>
        </w:tc>
      </w:tr>
      <w:tr>
        <w:tblPrEx>
          <w:tblCellMar>
            <w:top w:w="0" w:type="dxa"/>
            <w:left w:w="108" w:type="dxa"/>
            <w:bottom w:w="0" w:type="dxa"/>
            <w:right w:w="108" w:type="dxa"/>
          </w:tblCellMar>
        </w:tblPrEx>
        <w:trPr>
          <w:trHeight w:val="48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大丰保护区</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120.810546</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32.990442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大丰川东乡东</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120.758688</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33.012935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大丰川竹</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120.7402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33.07874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w:t>
            </w:r>
          </w:p>
        </w:tc>
        <w:tc>
          <w:tcPr>
            <w:tcW w:w="488"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草庙北</w:t>
            </w:r>
          </w:p>
        </w:tc>
        <w:tc>
          <w:tcPr>
            <w:tcW w:w="1154"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120.67485</w:t>
            </w:r>
          </w:p>
        </w:tc>
        <w:tc>
          <w:tcPr>
            <w:tcW w:w="1033"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33.06068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w:t>
            </w:r>
          </w:p>
        </w:tc>
        <w:tc>
          <w:tcPr>
            <w:tcW w:w="488"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草庙北灶</w:t>
            </w:r>
          </w:p>
        </w:tc>
        <w:tc>
          <w:tcPr>
            <w:tcW w:w="1154"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120.64486</w:t>
            </w:r>
          </w:p>
        </w:tc>
        <w:tc>
          <w:tcPr>
            <w:tcW w:w="1033"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33.01839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草庙二</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120.66891</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33.02817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草庙庆生村</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120.60347</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33.12291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草庙西</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120.63807</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33.04779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川东乡</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120.70496</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33.01921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东洲药业</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120.72409</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33.02203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四灶小学</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120.6472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33.0897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D_大桥</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120.6334</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32.9962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潘丿江岸</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120.6827</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32.93387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潘撇</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120.65309</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32.9306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潘撇北</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120.6557</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32.96582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潘撇西</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120.61135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32.93626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中叶村</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120.59555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32.945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18</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六川东</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120.59765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32.98005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19</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农干校东</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120.50391</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33.16266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20</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竹团</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120.3864</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33.14898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21</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D_农干校</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120.45342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33.16817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22</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D打靶场</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120.47756</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33.18637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23</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D裕华西</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120.52795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33.2034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丰收大地</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120.49832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33.23118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25</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裕华北</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120.52714</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33.23283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26</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裕华二</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120.55643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33.21332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27</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裕华晋丰</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120.55463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33.17399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裕华元丰八队</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120.59878</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33.17768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29</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D南阳_大丰</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120.54037</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33.12791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30</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D通商二</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120.5973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33.1319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31</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大丰南阳二</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120.52232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33.1249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南阳城乡</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120.53109</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33.15389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南阳西南</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120.54753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33.10351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34</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南阳裕海村</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120.612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33.14098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35</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南洋祥南</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120.5348</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33.08873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36</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南洋砖瓦厂</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120.49131</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33.12169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37</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通商北</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120.57504</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33.13474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38</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通商三</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120.58245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33.1165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39</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大丰斗龙</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120.57973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33.46162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40</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大丰三龙</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120.50842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33.41782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41</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大丰三龙二</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120.542397</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33.443832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42</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三龙丰余</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120.49276</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33.37227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43</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三龙富强</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120.4393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33.403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44</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三龙和平</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120.4808</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33.4704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45</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三龙西南</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120.4653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33.39153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46</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好派</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120.55262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33.08422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47</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六川</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120.55147</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32.96408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六里</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120.53001</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33.06427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49</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沈灶双灶</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120.5361</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32.99321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50</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万盈北</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120.56965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33.06097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51</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万盈东</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120.60156</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33.07659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52</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万盈二</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120.5781</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33.0525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53</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万盈顾照</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120.5261</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32.94511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54</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万盈双星</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120.52455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32.96944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55</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万盈兆丰</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120.59792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33.02245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56</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苗丰</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120.5352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33.0189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57</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大丰小海镇</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120.47944</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33.11184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58</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120.47685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33.03323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59</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小海北塘</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120.49071</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33.08344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60</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小海海团</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120.47413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33.06319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61</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小海无泊村</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120.50683</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33.02466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62</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新丰镇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金西村</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120.43525</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33.32395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63</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新丰镇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万众村</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120.3288</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33.22388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64</w:t>
            </w:r>
          </w:p>
        </w:tc>
        <w:tc>
          <w:tcPr>
            <w:tcW w:w="488"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新丰镇</w:t>
            </w:r>
          </w:p>
        </w:tc>
        <w:tc>
          <w:tcPr>
            <w:tcW w:w="1225"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新丰鼎风</w:t>
            </w:r>
          </w:p>
        </w:tc>
        <w:tc>
          <w:tcPr>
            <w:tcW w:w="1154"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120.49662</w:t>
            </w:r>
          </w:p>
        </w:tc>
        <w:tc>
          <w:tcPr>
            <w:tcW w:w="1033"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33.24673</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一期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保护区二-1</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120.76202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32.99164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120.668791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33.043911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川东农场北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120.720161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32.989711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川东</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规划1589(L上农川西)</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120.703333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32.976111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川东</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华丰工业园西</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120.7009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33.16352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川东</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川竹北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120.732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33.095167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川东</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林场四区场部</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120.79496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33.05456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川东</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林场大丰</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120.75287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33.04578</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移动潘撇南(L潘丿南)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120.654166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32.916111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w:t>
            </w:r>
          </w:p>
        </w:tc>
        <w:tc>
          <w:tcPr>
            <w:tcW w:w="1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恒天创丰重工西（移动）</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120.47444</w:t>
            </w:r>
          </w:p>
        </w:tc>
        <w:tc>
          <w:tcPr>
            <w:tcW w:w="10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33.16952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城东实验小学</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120.488556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33.215639</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丰海水泥厂</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120.5825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33.228194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东坝头农机厂</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120.626111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33.193722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海防大队</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120.56188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33.23161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大丰裕华福丰</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120.507222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33.199444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东坝头农场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120.611821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33.203261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恒北村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120.48415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33.14645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大中农场北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120.642501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33.17215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裕华东</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120.57519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33.20544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裕华朝荣</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120.539451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33.241211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大中镇</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三卯酉</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120.55064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33.26781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丰海种猪场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120.561528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33.392917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海北畜牧场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120.644667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33.391917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斗龙东南庄</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120.537737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33.496001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89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十二队-2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120.562135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33.378417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新垦闸闸口旁</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120.600321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33.506841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海北闸</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120.59925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33.41305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120.537737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33.496001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海丰农场节点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120.566071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33.326331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上海农场北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120.518731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33.332561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四卯酉</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120.669791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33.331601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斗龙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下明分场四队</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120.546876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33.357782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规划1442(L描花节点)</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120.61288</w:t>
            </w:r>
          </w:p>
        </w:tc>
        <w:tc>
          <w:tcPr>
            <w:tcW w:w="10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33.22925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申丰奶牛场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120.629028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33.272556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99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大丰海丰农场北垦区</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120.61012</w:t>
            </w:r>
          </w:p>
        </w:tc>
        <w:tc>
          <w:tcPr>
            <w:tcW w:w="10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33.29316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大丰港搬迁</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120.730142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33.259496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大丰海丰东</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120.61236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33.32546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大丰盐场小区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120.670211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33.231901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盐场大丰</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120.694021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33.227751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王港小街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120.64995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33.20821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大丰三卯由东</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120.59048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33.29156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海丰桃园</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120.622701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33.25567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海丰育苗场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120.649801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33.294401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描花西北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120.594601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33.24142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109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华丰公司</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120.722311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33.145971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上海农场2#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120.533671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33.312891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大丰王港二</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120.66283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33.17645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大丰王港闸</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120.693291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33.188601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淡水产业园</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120.76126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33.27558</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港口动物园北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120.69703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33.25233</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华丰工业东</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120.730801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33.17527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港区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汽车试验场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120.63615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33.23285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开发区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大丰市灶圩小区北侧灶圩小区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120.40644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33.21999</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开发区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盐城市大丰市西团镇七灶河村五组36号东边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120.401941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33.143311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119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开发区</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大丰培耘电子</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120.377778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33.207778</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刘庄</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刘庄建成</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120.271121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33.186841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三龙新丰村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120.507167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33.465667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大丰丰富持久电信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120.44918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33.45504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大丰丰富新坍电信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120.42456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33.41695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丰富镇</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120.474451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33.444721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丰富西</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120.436691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33.432751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三龙龙南（新站）</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120.541861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33.424431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大丰万盈工业园</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120.575781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33.030301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西团</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西团众心村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120.378139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33.121556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129</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小海二桥盘纺织厂内</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120.483021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33.046641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大丰镇海寺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120.541701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33.038121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南团二</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120.451461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33.090711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大丰小海南头灶</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120.48071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33.00776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龙堤沙港</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120.4089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33.25644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134</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三龙补点</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120.517693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33.431671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三龙盈余</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120.52555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33.39524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136</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竹港闸北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120.771622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33.160751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137</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小海唐中村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120.443672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33.025841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川东农场六大队</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120.684464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32.976902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139</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大丰南阳政府（联通）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120.58859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33.12826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大丰联丰村联通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120.58064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32.99334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小海无泊村电信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120.54249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33.02146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白驹朱舍联通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120.368843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33.026413</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143</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南团新北一队电信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120.508881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33.08733</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南阳沿海联通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120.621002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33.167694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145</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南阳东旺联通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120.575104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33.15448</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万盈沟北电信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120.58347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33.08507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147</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小海温泉电信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120.49831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33.00396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大丰林场联通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120.72724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33.03428</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149</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白驹沿堤联通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120.311897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33.052723</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草堰双河联通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120.29612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32.969635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大桥六川联通</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120.540146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32.968174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方强老墩</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120.43562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33.36261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153</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方强长坍村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120.381856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33.368268</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丰富富强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120.4634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33.40542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155</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三龙前进</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120.48635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33.40471</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河口村一组</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120.40947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33.16375</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157</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龙堤永跃电信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120.3367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33.2318</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奇艺食品厂</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120.7193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33.19796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159</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新团龙福</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120.372185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33.217556</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元华管理区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120.59704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33.2554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中路港电信</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120.51799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33.51859</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大中万丰村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120.5132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33.22969</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163</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裕华海防（现网）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120.57913</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33.2352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沈灶双福</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120.48181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32.98973</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165</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苏丰农场</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120.766107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33.091914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东联十三组</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120.2834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33.20517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167</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齐贤村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120.393705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33.343883</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大丰_川东新东_宏站型</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120.720108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33.064304</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169</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大丰_草堰堰北C_宏站型</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120.31977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32.98449</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170</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南阳祥北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120.53417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33.10668</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171</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大中农场滨海四组</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120.646084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33.141857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172</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大丰潘丿北</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120.655551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32.965830999</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173</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裕华敬老院</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120.543396</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33.196972</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174</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花炮厂</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120.458621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33.18409099</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175</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八万亩</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120.561480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33.392970</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176</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明天公司（海丰）</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120.625208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33.409167</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177</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临海公路</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120.609530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33.270680</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178</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大中和瑞村</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120.418030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33.153950</w:t>
            </w:r>
          </w:p>
        </w:tc>
        <w:tc>
          <w:tcPr>
            <w:tcW w:w="7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r>
        <w:tblPrEx>
          <w:tblCellMar>
            <w:top w:w="0" w:type="dxa"/>
            <w:left w:w="108" w:type="dxa"/>
            <w:bottom w:w="0" w:type="dxa"/>
            <w:right w:w="108" w:type="dxa"/>
          </w:tblCellMar>
        </w:tblPrEx>
        <w:trPr>
          <w:trHeight w:val="240" w:hRule="atLeast"/>
        </w:trPr>
        <w:tc>
          <w:tcPr>
            <w:tcW w:w="300" w:type="pc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179</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大丰</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方强五丰</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120.374300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33.385120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二期</w:t>
            </w:r>
          </w:p>
        </w:tc>
      </w:tr>
    </w:tbl>
    <w:p>
      <w:pPr>
        <w:pStyle w:val="24"/>
        <w:snapToGrid w:val="0"/>
        <w:spacing w:before="120" w:after="120" w:line="440" w:lineRule="exact"/>
        <w:rPr>
          <w:rFonts w:hAnsi="宋体"/>
          <w:color w:val="auto"/>
          <w:sz w:val="24"/>
          <w:szCs w:val="24"/>
        </w:rPr>
      </w:pPr>
      <w:r>
        <w:rPr>
          <w:rFonts w:hint="eastAsia" w:hAnsi="宋体"/>
          <w:color w:val="auto"/>
          <w:sz w:val="24"/>
          <w:szCs w:val="24"/>
        </w:rPr>
        <w:t>3</w:t>
      </w:r>
      <w:r>
        <w:rPr>
          <w:rFonts w:hAnsi="宋体"/>
          <w:color w:val="auto"/>
          <w:sz w:val="24"/>
          <w:szCs w:val="24"/>
        </w:rPr>
        <w:t>、</w:t>
      </w:r>
      <w:r>
        <w:rPr>
          <w:rFonts w:hint="eastAsia" w:hAnsi="宋体"/>
          <w:color w:val="auto"/>
          <w:sz w:val="24"/>
          <w:szCs w:val="24"/>
        </w:rPr>
        <w:t>光纤</w:t>
      </w:r>
      <w:r>
        <w:rPr>
          <w:rFonts w:hAnsi="宋体"/>
          <w:color w:val="auto"/>
          <w:sz w:val="24"/>
          <w:szCs w:val="24"/>
        </w:rPr>
        <w:t>联网监控</w:t>
      </w:r>
    </w:p>
    <w:p>
      <w:pPr>
        <w:pStyle w:val="24"/>
        <w:snapToGrid w:val="0"/>
        <w:spacing w:before="120" w:after="120" w:line="440" w:lineRule="exact"/>
        <w:rPr>
          <w:rFonts w:hAnsi="宋体"/>
          <w:color w:val="auto"/>
          <w:sz w:val="24"/>
          <w:szCs w:val="24"/>
        </w:rPr>
      </w:pPr>
      <w:r>
        <w:rPr>
          <w:rFonts w:hint="eastAsia" w:hAnsi="宋体"/>
          <w:color w:val="auto"/>
          <w:sz w:val="24"/>
          <w:szCs w:val="24"/>
        </w:rPr>
        <w:t xml:space="preserve">    </w:t>
      </w:r>
      <w:r>
        <w:rPr>
          <w:rFonts w:hAnsi="宋体"/>
          <w:color w:val="auto"/>
          <w:sz w:val="24"/>
          <w:szCs w:val="24"/>
        </w:rPr>
        <w:t>所有监控点位需</w:t>
      </w:r>
      <w:r>
        <w:rPr>
          <w:rFonts w:hint="eastAsia" w:hAnsi="宋体"/>
          <w:color w:val="auto"/>
          <w:sz w:val="24"/>
          <w:szCs w:val="24"/>
        </w:rPr>
        <w:t>通过有线光纤</w:t>
      </w:r>
      <w:r>
        <w:rPr>
          <w:rFonts w:hAnsi="宋体"/>
          <w:color w:val="auto"/>
          <w:sz w:val="24"/>
          <w:szCs w:val="24"/>
        </w:rPr>
        <w:t>实现联网，上传至监控平台，实现以下功能：</w:t>
      </w:r>
    </w:p>
    <w:p>
      <w:pPr>
        <w:pStyle w:val="24"/>
        <w:snapToGrid w:val="0"/>
        <w:spacing w:before="120" w:after="120" w:line="440" w:lineRule="exact"/>
        <w:rPr>
          <w:rFonts w:hAnsi="宋体"/>
          <w:color w:val="auto"/>
          <w:sz w:val="24"/>
          <w:szCs w:val="24"/>
        </w:rPr>
      </w:pPr>
      <w:bookmarkStart w:id="574" w:name="_Toc271400445"/>
      <w:bookmarkEnd w:id="574"/>
      <w:bookmarkStart w:id="575" w:name="_Toc261640577"/>
      <w:r>
        <w:rPr>
          <w:rFonts w:hint="eastAsia" w:hAnsi="宋体"/>
          <w:color w:val="auto"/>
          <w:sz w:val="24"/>
          <w:szCs w:val="24"/>
        </w:rPr>
        <w:t xml:space="preserve">    </w:t>
      </w:r>
      <w:r>
        <w:rPr>
          <w:rFonts w:hAnsi="宋体"/>
          <w:color w:val="auto"/>
          <w:sz w:val="24"/>
          <w:szCs w:val="24"/>
        </w:rPr>
        <w:t>全天候监控功能：通过安装的监控设备，全天候24小时成像，实时监控燃烧现象，监控中心要求接入</w:t>
      </w:r>
      <w:r>
        <w:rPr>
          <w:rFonts w:hint="eastAsia" w:hAnsi="宋体"/>
          <w:color w:val="auto"/>
          <w:sz w:val="24"/>
          <w:szCs w:val="24"/>
        </w:rPr>
        <w:t>100M</w:t>
      </w:r>
      <w:r>
        <w:rPr>
          <w:rFonts w:hAnsi="宋体"/>
          <w:color w:val="auto"/>
          <w:sz w:val="24"/>
          <w:szCs w:val="24"/>
        </w:rPr>
        <w:t>互联网。</w:t>
      </w:r>
      <w:bookmarkEnd w:id="575"/>
    </w:p>
    <w:p>
      <w:pPr>
        <w:pStyle w:val="24"/>
        <w:snapToGrid w:val="0"/>
        <w:spacing w:before="120" w:after="120" w:line="440" w:lineRule="exact"/>
        <w:rPr>
          <w:rFonts w:hAnsi="宋体"/>
          <w:color w:val="auto"/>
          <w:sz w:val="24"/>
          <w:szCs w:val="24"/>
        </w:rPr>
      </w:pPr>
      <w:r>
        <w:rPr>
          <w:rFonts w:hint="eastAsia" w:hAnsi="宋体"/>
          <w:color w:val="auto"/>
          <w:sz w:val="24"/>
          <w:szCs w:val="24"/>
        </w:rPr>
        <w:t xml:space="preserve">    </w:t>
      </w:r>
      <w:r>
        <w:rPr>
          <w:rFonts w:hAnsi="宋体"/>
          <w:color w:val="auto"/>
          <w:sz w:val="24"/>
          <w:szCs w:val="24"/>
        </w:rPr>
        <w:t>昼夜成像功能：要求具有优良的夜视性能和较高的视频分辨率，对于照度很低的情况下具有良好的成像性能；</w:t>
      </w:r>
    </w:p>
    <w:p>
      <w:pPr>
        <w:pStyle w:val="24"/>
        <w:snapToGrid w:val="0"/>
        <w:spacing w:before="120" w:after="120" w:line="440" w:lineRule="exact"/>
        <w:rPr>
          <w:rFonts w:hAnsi="宋体"/>
          <w:color w:val="auto"/>
          <w:sz w:val="24"/>
          <w:szCs w:val="24"/>
        </w:rPr>
      </w:pPr>
      <w:r>
        <w:rPr>
          <w:rFonts w:hint="eastAsia" w:hAnsi="宋体"/>
          <w:color w:val="auto"/>
          <w:sz w:val="24"/>
          <w:szCs w:val="24"/>
        </w:rPr>
        <w:t xml:space="preserve">    </w:t>
      </w:r>
      <w:r>
        <w:rPr>
          <w:rFonts w:hAnsi="宋体"/>
          <w:color w:val="auto"/>
          <w:sz w:val="24"/>
          <w:szCs w:val="24"/>
        </w:rPr>
        <w:t>云台控制功能：可手动控制镜头的变倍、聚焦等操作，实现对目标细致观察和抓拍的需要；同时可设置自动巡航，动态监控周边区域状况。</w:t>
      </w:r>
    </w:p>
    <w:p>
      <w:pPr>
        <w:pStyle w:val="24"/>
        <w:snapToGrid w:val="0"/>
        <w:spacing w:before="120" w:after="120" w:line="440" w:lineRule="exact"/>
        <w:rPr>
          <w:rFonts w:hAnsi="宋体"/>
          <w:color w:val="auto"/>
          <w:sz w:val="24"/>
          <w:szCs w:val="24"/>
        </w:rPr>
      </w:pPr>
      <w:r>
        <w:rPr>
          <w:rFonts w:hint="eastAsia" w:hAnsi="宋体"/>
          <w:color w:val="auto"/>
          <w:sz w:val="24"/>
          <w:szCs w:val="24"/>
        </w:rPr>
        <w:t xml:space="preserve">    </w:t>
      </w:r>
      <w:r>
        <w:rPr>
          <w:rFonts w:hAnsi="宋体"/>
          <w:color w:val="auto"/>
          <w:sz w:val="24"/>
          <w:szCs w:val="24"/>
        </w:rPr>
        <w:t>报警功能：系统对各监控点进行有效布防，避免人为破坏；当发生断电、视频遮挡、视频丢失等情况时，现场发出告警信号，同时将报警信息传输到监控中心，使管理人员第一时间了解现场情况。</w:t>
      </w:r>
    </w:p>
    <w:p>
      <w:pPr>
        <w:pStyle w:val="24"/>
        <w:snapToGrid w:val="0"/>
        <w:spacing w:before="120" w:after="120" w:line="440" w:lineRule="exact"/>
        <w:rPr>
          <w:rFonts w:hAnsi="宋体"/>
          <w:color w:val="auto"/>
          <w:sz w:val="24"/>
          <w:szCs w:val="24"/>
        </w:rPr>
      </w:pPr>
      <w:r>
        <w:rPr>
          <w:rFonts w:hint="eastAsia" w:hAnsi="宋体"/>
          <w:color w:val="auto"/>
          <w:sz w:val="24"/>
          <w:szCs w:val="24"/>
        </w:rPr>
        <w:t xml:space="preserve">    </w:t>
      </w:r>
      <w:r>
        <w:rPr>
          <w:rFonts w:hAnsi="宋体"/>
          <w:color w:val="auto"/>
          <w:sz w:val="24"/>
          <w:szCs w:val="24"/>
        </w:rPr>
        <w:t>回放查询功能：有突发事件可以及时调看现场画面并进行实时录像，记录事件发生时间、地点，事后可对事件发生视频资料进行查询分析，要求录像存储时间不低于</w:t>
      </w:r>
      <w:r>
        <w:rPr>
          <w:rFonts w:hint="eastAsia" w:hAnsi="宋体"/>
          <w:color w:val="auto"/>
          <w:sz w:val="24"/>
          <w:szCs w:val="24"/>
        </w:rPr>
        <w:t>30</w:t>
      </w:r>
      <w:r>
        <w:rPr>
          <w:rFonts w:hAnsi="宋体"/>
          <w:color w:val="auto"/>
          <w:sz w:val="24"/>
          <w:szCs w:val="24"/>
        </w:rPr>
        <w:t>天。</w:t>
      </w:r>
    </w:p>
    <w:p>
      <w:pPr>
        <w:pStyle w:val="24"/>
        <w:snapToGrid w:val="0"/>
        <w:spacing w:before="120" w:after="120" w:line="440" w:lineRule="exact"/>
        <w:rPr>
          <w:rFonts w:hAnsi="宋体"/>
          <w:color w:val="auto"/>
          <w:sz w:val="24"/>
          <w:szCs w:val="24"/>
        </w:rPr>
      </w:pPr>
      <w:r>
        <w:rPr>
          <w:rFonts w:hint="eastAsia" w:hAnsi="宋体"/>
          <w:color w:val="auto"/>
          <w:sz w:val="24"/>
          <w:szCs w:val="24"/>
        </w:rPr>
        <w:t xml:space="preserve">    </w:t>
      </w:r>
      <w:r>
        <w:rPr>
          <w:rFonts w:hAnsi="宋体"/>
          <w:color w:val="auto"/>
          <w:sz w:val="24"/>
          <w:szCs w:val="24"/>
        </w:rPr>
        <w:t>移动终端查询功能：通过手机终端可随时随地查看现场视频画面。</w:t>
      </w:r>
    </w:p>
    <w:p>
      <w:pPr>
        <w:pStyle w:val="24"/>
        <w:snapToGrid w:val="0"/>
        <w:spacing w:before="120" w:after="120" w:line="440" w:lineRule="exact"/>
        <w:rPr>
          <w:rFonts w:hAnsi="宋体"/>
          <w:color w:val="auto"/>
          <w:sz w:val="24"/>
          <w:szCs w:val="24"/>
        </w:rPr>
      </w:pPr>
      <w:r>
        <w:rPr>
          <w:rFonts w:hint="eastAsia" w:hAnsi="宋体"/>
          <w:color w:val="auto"/>
          <w:sz w:val="24"/>
          <w:szCs w:val="24"/>
        </w:rPr>
        <w:t xml:space="preserve">    </w:t>
      </w:r>
      <w:r>
        <w:rPr>
          <w:rFonts w:hAnsi="宋体"/>
          <w:color w:val="auto"/>
          <w:sz w:val="24"/>
          <w:szCs w:val="24"/>
        </w:rPr>
        <w:t>设备状态监测功能：系统前端节点为网络摄像机，软件平台能实时监测它们的运行状态，对工作异常的设备可发出报警信号。</w:t>
      </w:r>
    </w:p>
    <w:p>
      <w:pPr>
        <w:spacing w:line="600" w:lineRule="exact"/>
        <w:ind w:firstLine="480" w:firstLineChars="200"/>
        <w:contextualSpacing/>
        <w:rPr>
          <w:rFonts w:ascii="宋体" w:hAnsi="宋体"/>
          <w:color w:val="auto"/>
          <w:sz w:val="24"/>
        </w:rPr>
      </w:pPr>
      <w:r>
        <w:rPr>
          <w:rFonts w:hint="eastAsia" w:ascii="宋体" w:hAnsi="宋体"/>
          <w:color w:val="auto"/>
          <w:sz w:val="24"/>
        </w:rPr>
        <w:t>4.整合资源</w:t>
      </w:r>
    </w:p>
    <w:p>
      <w:pPr>
        <w:spacing w:line="600" w:lineRule="exact"/>
        <w:ind w:firstLine="480" w:firstLineChars="200"/>
        <w:contextualSpacing/>
        <w:rPr>
          <w:color w:val="auto"/>
          <w:sz w:val="24"/>
        </w:rPr>
      </w:pPr>
      <w:r>
        <w:rPr>
          <w:rFonts w:hint="eastAsia" w:ascii="宋体" w:hAnsi="宋体"/>
          <w:color w:val="auto"/>
          <w:sz w:val="24"/>
        </w:rPr>
        <w:t>所建系统须能与盐城市大丰生态环境局所建设的110个高空监控和蓝天卫士高空监控系统无缝对接</w:t>
      </w:r>
      <w:r>
        <w:rPr>
          <w:rFonts w:hint="eastAsia" w:ascii="宋体" w:hAnsi="宋体"/>
          <w:color w:val="auto"/>
          <w:sz w:val="24"/>
          <w:lang w:eastAsia="zh-CN"/>
        </w:rPr>
        <w:t>，</w:t>
      </w:r>
      <w:r>
        <w:rPr>
          <w:rFonts w:hint="eastAsia"/>
          <w:color w:val="auto"/>
          <w:sz w:val="24"/>
        </w:rPr>
        <w:t>对接所需的端口</w:t>
      </w:r>
      <w:r>
        <w:rPr>
          <w:rFonts w:hint="eastAsia"/>
          <w:color w:val="auto"/>
          <w:sz w:val="24"/>
          <w:lang w:val="en-US" w:eastAsia="zh-CN"/>
        </w:rPr>
        <w:t>技术</w:t>
      </w:r>
      <w:r>
        <w:rPr>
          <w:rFonts w:hint="eastAsia"/>
          <w:color w:val="auto"/>
          <w:sz w:val="24"/>
        </w:rPr>
        <w:t>信息</w:t>
      </w:r>
      <w:r>
        <w:rPr>
          <w:rFonts w:hint="eastAsia"/>
          <w:color w:val="auto"/>
          <w:sz w:val="24"/>
          <w:lang w:eastAsia="zh-CN"/>
        </w:rPr>
        <w:t>、</w:t>
      </w:r>
      <w:r>
        <w:rPr>
          <w:rFonts w:hint="eastAsia"/>
          <w:color w:val="auto"/>
          <w:sz w:val="24"/>
          <w:lang w:val="en-US" w:eastAsia="zh-CN"/>
        </w:rPr>
        <w:t>沟通协调均</w:t>
      </w:r>
      <w:r>
        <w:rPr>
          <w:rFonts w:hint="eastAsia"/>
          <w:color w:val="auto"/>
          <w:sz w:val="24"/>
        </w:rPr>
        <w:t>由招标人负责。</w:t>
      </w:r>
    </w:p>
    <w:p>
      <w:pPr>
        <w:numPr>
          <w:ilvl w:val="0"/>
          <w:numId w:val="7"/>
        </w:numPr>
        <w:spacing w:line="600" w:lineRule="exact"/>
        <w:ind w:firstLine="480" w:firstLineChars="200"/>
        <w:contextualSpacing/>
        <w:rPr>
          <w:rFonts w:ascii="宋体" w:hAnsi="宋体"/>
          <w:color w:val="auto"/>
          <w:sz w:val="24"/>
        </w:rPr>
      </w:pPr>
      <w:r>
        <w:rPr>
          <w:rFonts w:hint="eastAsia" w:ascii="宋体" w:hAnsi="宋体"/>
          <w:color w:val="auto"/>
          <w:sz w:val="24"/>
        </w:rPr>
        <w:t>项目清单</w:t>
      </w:r>
    </w:p>
    <w:tbl>
      <w:tblPr>
        <w:tblStyle w:val="45"/>
        <w:tblW w:w="4769" w:type="pct"/>
        <w:tblInd w:w="0" w:type="dxa"/>
        <w:tblLayout w:type="autofit"/>
        <w:tblCellMar>
          <w:top w:w="15" w:type="dxa"/>
          <w:left w:w="15" w:type="dxa"/>
          <w:bottom w:w="15" w:type="dxa"/>
          <w:right w:w="15" w:type="dxa"/>
        </w:tblCellMar>
      </w:tblPr>
      <w:tblGrid>
        <w:gridCol w:w="576"/>
        <w:gridCol w:w="1755"/>
        <w:gridCol w:w="3754"/>
        <w:gridCol w:w="968"/>
        <w:gridCol w:w="1789"/>
      </w:tblGrid>
      <w:tr>
        <w:tblPrEx>
          <w:tblCellMar>
            <w:top w:w="15" w:type="dxa"/>
            <w:left w:w="15" w:type="dxa"/>
            <w:bottom w:w="15" w:type="dxa"/>
            <w:right w:w="15" w:type="dxa"/>
          </w:tblCellMar>
        </w:tblPrEx>
        <w:trPr>
          <w:trHeight w:val="59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采购名称</w:t>
            </w:r>
          </w:p>
        </w:tc>
        <w:tc>
          <w:tcPr>
            <w:tcW w:w="2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color w:val="auto"/>
                <w:sz w:val="24"/>
              </w:rPr>
            </w:pPr>
            <w:r>
              <w:rPr>
                <w:rFonts w:hint="eastAsia" w:ascii="宋体" w:hAnsi="宋体" w:cs="宋体"/>
                <w:b/>
                <w:color w:val="auto"/>
                <w:kern w:val="0"/>
                <w:sz w:val="24"/>
              </w:rPr>
              <w:t>规格型号配置及技术参数</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单位</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auto"/>
                <w:sz w:val="24"/>
              </w:rPr>
            </w:pPr>
            <w:r>
              <w:rPr>
                <w:rFonts w:hint="eastAsia" w:ascii="宋体" w:hAnsi="宋体" w:cs="宋体"/>
                <w:b/>
                <w:color w:val="auto"/>
                <w:kern w:val="0"/>
                <w:sz w:val="24"/>
              </w:rPr>
              <w:t>数量</w:t>
            </w:r>
          </w:p>
        </w:tc>
      </w:tr>
      <w:tr>
        <w:tblPrEx>
          <w:tblCellMar>
            <w:top w:w="15" w:type="dxa"/>
            <w:left w:w="15" w:type="dxa"/>
            <w:bottom w:w="15" w:type="dxa"/>
            <w:right w:w="15" w:type="dxa"/>
          </w:tblCellMar>
        </w:tblPrEx>
        <w:trPr>
          <w:trHeight w:val="114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监控点位数据光纤联网使用费</w:t>
            </w:r>
          </w:p>
        </w:tc>
        <w:tc>
          <w:tcPr>
            <w:tcW w:w="2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20M光纤，1年使用费</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条</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179</w:t>
            </w:r>
          </w:p>
        </w:tc>
      </w:tr>
      <w:tr>
        <w:trPr>
          <w:trHeight w:val="602"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监控云平台使用费</w:t>
            </w:r>
          </w:p>
        </w:tc>
        <w:tc>
          <w:tcPr>
            <w:tcW w:w="21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 w:val="24"/>
              </w:rPr>
            </w:pPr>
            <w:r>
              <w:rPr>
                <w:rFonts w:hint="eastAsia" w:ascii="宋体" w:hAnsi="宋体" w:cs="宋体"/>
                <w:color w:val="auto"/>
                <w:kern w:val="0"/>
                <w:sz w:val="24"/>
              </w:rPr>
              <w:t>满足光纤联网监控平台使用需求，提供云存储，1年使用费</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套</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r>
    </w:tbl>
    <w:p>
      <w:pPr>
        <w:spacing w:line="600" w:lineRule="exact"/>
        <w:ind w:firstLine="240" w:firstLineChars="100"/>
        <w:contextualSpacing/>
        <w:rPr>
          <w:rFonts w:ascii="宋体" w:hAnsi="宋体"/>
          <w:color w:val="auto"/>
          <w:sz w:val="24"/>
        </w:rPr>
      </w:pPr>
      <w:r>
        <w:rPr>
          <w:rFonts w:hint="eastAsia" w:ascii="宋体" w:hAnsi="宋体"/>
          <w:color w:val="auto"/>
          <w:sz w:val="24"/>
        </w:rPr>
        <w:t>备注：1、中标单位需确保协议期内系统能正常使用。</w:t>
      </w:r>
    </w:p>
    <w:p>
      <w:pPr>
        <w:numPr>
          <w:ilvl w:val="0"/>
          <w:numId w:val="3"/>
        </w:numPr>
        <w:spacing w:line="600" w:lineRule="exact"/>
        <w:ind w:firstLine="480" w:firstLineChars="200"/>
        <w:contextualSpacing/>
        <w:rPr>
          <w:rFonts w:ascii="宋体" w:hAnsi="宋体"/>
          <w:color w:val="auto"/>
          <w:sz w:val="24"/>
        </w:rPr>
      </w:pPr>
      <w:r>
        <w:rPr>
          <w:rFonts w:hint="eastAsia" w:ascii="宋体" w:hAnsi="宋体"/>
          <w:color w:val="auto"/>
          <w:sz w:val="24"/>
        </w:rPr>
        <w:t>售后及安全保障</w:t>
      </w:r>
    </w:p>
    <w:p>
      <w:pPr>
        <w:spacing w:line="600" w:lineRule="exact"/>
        <w:ind w:left="420" w:leftChars="200"/>
        <w:contextualSpacing/>
        <w:rPr>
          <w:rFonts w:ascii="宋体" w:hAnsi="宋体"/>
          <w:color w:val="auto"/>
          <w:sz w:val="24"/>
        </w:rPr>
      </w:pPr>
      <w:r>
        <w:rPr>
          <w:rFonts w:hint="eastAsia" w:ascii="宋体" w:hAnsi="宋体"/>
          <w:color w:val="auto"/>
          <w:sz w:val="24"/>
        </w:rPr>
        <w:t>①按照招标人要求，在招标文件规定的期限内完成。</w:t>
      </w:r>
    </w:p>
    <w:p>
      <w:pPr>
        <w:spacing w:line="600" w:lineRule="exact"/>
        <w:ind w:left="420" w:leftChars="200"/>
        <w:contextualSpacing/>
        <w:rPr>
          <w:rFonts w:ascii="宋体" w:hAnsi="宋体"/>
          <w:color w:val="auto"/>
          <w:sz w:val="24"/>
        </w:rPr>
      </w:pPr>
      <w:r>
        <w:rPr>
          <w:rFonts w:hint="eastAsia" w:ascii="宋体" w:hAnsi="宋体"/>
          <w:color w:val="auto"/>
          <w:sz w:val="24"/>
        </w:rPr>
        <w:t>②该项目服务期限为一年，定期维护。</w:t>
      </w:r>
    </w:p>
    <w:p>
      <w:pPr>
        <w:spacing w:line="600" w:lineRule="exact"/>
        <w:ind w:left="420" w:leftChars="200"/>
        <w:contextualSpacing/>
        <w:rPr>
          <w:rFonts w:ascii="宋体" w:hAnsi="宋体"/>
          <w:color w:val="auto"/>
          <w:sz w:val="24"/>
        </w:rPr>
      </w:pPr>
      <w:r>
        <w:rPr>
          <w:rFonts w:hint="eastAsia" w:ascii="宋体" w:hAnsi="宋体"/>
          <w:color w:val="auto"/>
          <w:sz w:val="24"/>
        </w:rPr>
        <w:t>③售后服务的响应时间为24小时。</w:t>
      </w:r>
    </w:p>
    <w:p>
      <w:pPr>
        <w:numPr>
          <w:ilvl w:val="0"/>
          <w:numId w:val="3"/>
        </w:numPr>
        <w:spacing w:line="600" w:lineRule="exact"/>
        <w:ind w:firstLine="480" w:firstLineChars="200"/>
        <w:contextualSpacing/>
        <w:rPr>
          <w:rFonts w:ascii="宋体" w:hAnsi="宋体"/>
          <w:color w:val="auto"/>
          <w:sz w:val="24"/>
        </w:rPr>
      </w:pPr>
      <w:r>
        <w:rPr>
          <w:rFonts w:hint="eastAsia" w:ascii="宋体" w:hAnsi="宋体"/>
          <w:color w:val="auto"/>
          <w:sz w:val="24"/>
        </w:rPr>
        <w:t>服务人员配备：针对本项目需求，投标人可自行分配服务人员，并提供相关岗位划分。</w:t>
      </w:r>
      <w:r>
        <w:rPr>
          <w:rFonts w:hint="eastAsia" w:ascii="宋体" w:hAnsi="宋体" w:cs="宋体"/>
          <w:color w:val="auto"/>
          <w:sz w:val="24"/>
        </w:rPr>
        <w:t xml:space="preserve"> </w:t>
      </w:r>
      <w:r>
        <w:rPr>
          <w:rFonts w:hint="eastAsia" w:ascii="宋体" w:hAnsi="宋体"/>
          <w:color w:val="auto"/>
          <w:sz w:val="24"/>
        </w:rPr>
        <w:t xml:space="preserve">                                                                                                                                                                                                                                                                                                                                                                                                                                                                                                                                                                                     </w:t>
      </w:r>
    </w:p>
    <w:p>
      <w:pPr>
        <w:pStyle w:val="3"/>
        <w:keepNext w:val="0"/>
        <w:pageBreakBefore/>
        <w:rPr>
          <w:rFonts w:ascii="宋体" w:hAnsi="宋体" w:cs="宋体"/>
          <w:color w:val="auto"/>
        </w:rPr>
      </w:pPr>
      <w:bookmarkStart w:id="576" w:name="_Toc12398"/>
      <w:r>
        <w:rPr>
          <w:rFonts w:hint="eastAsia" w:ascii="宋体" w:hAnsi="宋体" w:cs="宋体"/>
          <w:color w:val="auto"/>
        </w:rPr>
        <w:t>第六章 投标文件格式</w:t>
      </w:r>
      <w:bookmarkEnd w:id="576"/>
    </w:p>
    <w:p>
      <w:pPr>
        <w:spacing w:line="360" w:lineRule="auto"/>
        <w:jc w:val="left"/>
        <w:rPr>
          <w:rFonts w:ascii="宋体" w:hAnsi="宋体" w:cs="宋体"/>
          <w:b/>
          <w:color w:val="auto"/>
          <w:sz w:val="32"/>
        </w:rPr>
      </w:pPr>
    </w:p>
    <w:p>
      <w:pPr>
        <w:jc w:val="center"/>
        <w:rPr>
          <w:rFonts w:ascii="宋体" w:hAnsi="宋体" w:cs="宋体"/>
          <w:color w:val="auto"/>
          <w:sz w:val="44"/>
          <w:szCs w:val="44"/>
        </w:rPr>
      </w:pPr>
    </w:p>
    <w:p>
      <w:pPr>
        <w:jc w:val="center"/>
        <w:rPr>
          <w:rFonts w:ascii="宋体" w:hAnsi="宋体" w:cs="宋体"/>
          <w:color w:val="auto"/>
          <w:sz w:val="44"/>
          <w:szCs w:val="44"/>
        </w:rPr>
      </w:pPr>
      <w:r>
        <w:rPr>
          <w:rFonts w:hint="eastAsia" w:ascii="宋体" w:hAnsi="宋体" w:cs="宋体"/>
          <w:color w:val="auto"/>
          <w:sz w:val="44"/>
          <w:szCs w:val="44"/>
          <w:u w:val="single"/>
        </w:rPr>
        <w:t xml:space="preserve"> （项目名称）    </w:t>
      </w: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72"/>
          <w:szCs w:val="72"/>
        </w:rPr>
      </w:pPr>
    </w:p>
    <w:p>
      <w:pPr>
        <w:spacing w:line="360" w:lineRule="auto"/>
        <w:jc w:val="center"/>
        <w:rPr>
          <w:rFonts w:ascii="宋体" w:hAnsi="宋体" w:cs="宋体"/>
          <w:color w:val="auto"/>
          <w:sz w:val="96"/>
          <w:szCs w:val="96"/>
        </w:rPr>
      </w:pPr>
      <w:r>
        <w:rPr>
          <w:rFonts w:hint="eastAsia" w:ascii="宋体" w:hAnsi="宋体" w:cs="宋体"/>
          <w:color w:val="auto"/>
          <w:sz w:val="96"/>
          <w:szCs w:val="96"/>
        </w:rPr>
        <w:t>投 标 文 件</w:t>
      </w: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r>
        <w:rPr>
          <w:rFonts w:hint="eastAsia" w:ascii="宋体" w:hAnsi="宋体" w:cs="宋体"/>
          <w:color w:val="auto"/>
          <w:sz w:val="28"/>
          <w:szCs w:val="28"/>
        </w:rPr>
        <w:t xml:space="preserve">项目编号： </w:t>
      </w: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jc w:val="center"/>
        <w:rPr>
          <w:rFonts w:ascii="宋体" w:hAnsi="宋体" w:cs="宋体"/>
          <w:color w:val="auto"/>
          <w:sz w:val="28"/>
          <w:szCs w:val="28"/>
        </w:rPr>
      </w:pPr>
    </w:p>
    <w:p>
      <w:pPr>
        <w:spacing w:line="360" w:lineRule="auto"/>
        <w:ind w:firstLine="560" w:firstLineChars="200"/>
        <w:jc w:val="left"/>
        <w:rPr>
          <w:rFonts w:ascii="宋体" w:hAnsi="宋体" w:cs="宋体"/>
          <w:color w:val="auto"/>
          <w:sz w:val="28"/>
          <w:szCs w:val="28"/>
          <w:u w:val="single"/>
        </w:rPr>
      </w:pPr>
      <w:r>
        <w:rPr>
          <w:rFonts w:hint="eastAsia" w:ascii="宋体" w:hAnsi="宋体" w:cs="宋体"/>
          <w:color w:val="auto"/>
          <w:sz w:val="28"/>
          <w:szCs w:val="28"/>
        </w:rPr>
        <w:t>投标人（盖章）：</w:t>
      </w:r>
    </w:p>
    <w:p>
      <w:pPr>
        <w:spacing w:line="360" w:lineRule="auto"/>
        <w:ind w:firstLine="560" w:firstLineChars="200"/>
        <w:jc w:val="left"/>
        <w:rPr>
          <w:rFonts w:ascii="宋体" w:hAnsi="宋体" w:cs="宋体"/>
          <w:color w:val="auto"/>
        </w:rPr>
      </w:pPr>
      <w:r>
        <w:rPr>
          <w:rFonts w:hint="eastAsia" w:ascii="宋体" w:hAnsi="宋体" w:cs="宋体"/>
          <w:color w:val="auto"/>
          <w:sz w:val="28"/>
          <w:szCs w:val="28"/>
        </w:rPr>
        <w:t>日期：   年   月   日</w:t>
      </w:r>
      <w:r>
        <w:rPr>
          <w:rFonts w:hint="eastAsia" w:ascii="宋体" w:hAnsi="宋体" w:cs="宋体"/>
          <w:b/>
          <w:color w:val="auto"/>
          <w:sz w:val="32"/>
        </w:rPr>
        <w:br w:type="page"/>
      </w:r>
      <w:bookmarkStart w:id="577" w:name="_Toc387526438"/>
      <w:bookmarkStart w:id="578" w:name="_Toc445046892"/>
      <w:bookmarkStart w:id="579" w:name="_Toc5230"/>
      <w:bookmarkStart w:id="580" w:name="_Toc387526242"/>
      <w:bookmarkStart w:id="581" w:name="_Toc397928632"/>
      <w:bookmarkStart w:id="582" w:name="_Toc387526346"/>
      <w:r>
        <w:rPr>
          <w:rFonts w:hint="eastAsia" w:ascii="宋体" w:hAnsi="宋体" w:cs="宋体"/>
          <w:b/>
          <w:bCs/>
          <w:color w:val="auto"/>
          <w:sz w:val="32"/>
          <w:szCs w:val="32"/>
        </w:rPr>
        <w:t xml:space="preserve"> 1.投标函</w:t>
      </w:r>
      <w:bookmarkEnd w:id="577"/>
      <w:bookmarkEnd w:id="578"/>
      <w:bookmarkEnd w:id="579"/>
      <w:bookmarkEnd w:id="580"/>
      <w:bookmarkEnd w:id="581"/>
      <w:bookmarkEnd w:id="582"/>
    </w:p>
    <w:p>
      <w:pPr>
        <w:pStyle w:val="123"/>
        <w:spacing w:line="360" w:lineRule="auto"/>
        <w:jc w:val="center"/>
        <w:rPr>
          <w:rFonts w:hAnsi="宋体" w:cs="宋体"/>
          <w:color w:val="auto"/>
          <w:sz w:val="32"/>
          <w:szCs w:val="32"/>
        </w:rPr>
      </w:pPr>
      <w:r>
        <w:rPr>
          <w:rFonts w:hint="eastAsia" w:hAnsi="宋体" w:cs="宋体"/>
          <w:color w:val="auto"/>
          <w:sz w:val="32"/>
          <w:szCs w:val="32"/>
        </w:rPr>
        <w:t>投  标  函</w:t>
      </w:r>
    </w:p>
    <w:p>
      <w:pPr>
        <w:pStyle w:val="256"/>
        <w:spacing w:line="360" w:lineRule="auto"/>
        <w:rPr>
          <w:rFonts w:hAnsi="宋体" w:cs="宋体"/>
          <w:color w:val="auto"/>
          <w:sz w:val="24"/>
        </w:rPr>
      </w:pPr>
      <w:r>
        <w:rPr>
          <w:rFonts w:hint="eastAsia" w:hAnsi="宋体" w:cs="宋体"/>
          <w:color w:val="auto"/>
          <w:sz w:val="24"/>
          <w:u w:val="single"/>
        </w:rPr>
        <w:t xml:space="preserve">  </w:t>
      </w:r>
      <w:r>
        <w:rPr>
          <w:rFonts w:hint="eastAsia" w:hAnsi="宋体" w:cs="宋体"/>
          <w:iCs/>
          <w:color w:val="auto"/>
          <w:sz w:val="24"/>
          <w:u w:val="single"/>
        </w:rPr>
        <w:t>（招标人）</w:t>
      </w:r>
      <w:r>
        <w:rPr>
          <w:rFonts w:hint="eastAsia" w:hAnsi="宋体" w:cs="宋体"/>
          <w:color w:val="auto"/>
          <w:sz w:val="24"/>
          <w:u w:val="single"/>
        </w:rPr>
        <w:t xml:space="preserve">   </w:t>
      </w:r>
      <w:r>
        <w:rPr>
          <w:rFonts w:hint="eastAsia" w:hAnsi="宋体" w:cs="宋体"/>
          <w:color w:val="auto"/>
          <w:sz w:val="24"/>
        </w:rPr>
        <w:t>：</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据此函，我方承诺：</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1.投标人已详细审查全部“招标文件”，包括修改文件（如有）以及全部参考资料和有关附件，已经了解我方对于招标文件、采购过程、采购结果有依法进行询问、质疑、投诉的权利及相关渠道和要求。</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w:t>
      </w:r>
      <w:bookmarkStart w:id="596" w:name="_GoBack"/>
      <w:r>
        <w:rPr>
          <w:rFonts w:hint="eastAsia" w:ascii="宋体" w:hAnsi="宋体" w:cs="宋体"/>
          <w:color w:val="auto"/>
          <w:sz w:val="24"/>
        </w:rPr>
        <w:t>我单位承诺本项目投标报价为：人民币</w:t>
      </w:r>
      <w:r>
        <w:rPr>
          <w:rFonts w:hint="eastAsia" w:ascii="宋体" w:hAnsi="宋体" w:cs="宋体"/>
          <w:color w:val="auto"/>
          <w:sz w:val="24"/>
          <w:u w:val="single"/>
        </w:rPr>
        <w:t xml:space="preserve">（大写：           </w:t>
      </w:r>
      <w:r>
        <w:rPr>
          <w:rFonts w:hint="eastAsia" w:ascii="宋体" w:hAnsi="宋体" w:cs="宋体"/>
          <w:color w:val="auto"/>
          <w:sz w:val="24"/>
        </w:rPr>
        <w:t>）（小写：</w:t>
      </w:r>
      <w:r>
        <w:rPr>
          <w:rFonts w:hint="eastAsia" w:ascii="宋体" w:hAnsi="宋体" w:cs="宋体"/>
          <w:color w:val="auto"/>
          <w:sz w:val="24"/>
          <w:u w:val="single"/>
        </w:rPr>
        <w:t xml:space="preserve">          </w:t>
      </w:r>
      <w:r>
        <w:rPr>
          <w:rFonts w:hint="eastAsia" w:ascii="宋体" w:hAnsi="宋体" w:cs="宋体"/>
          <w:color w:val="auto"/>
          <w:sz w:val="24"/>
        </w:rPr>
        <w:t>元）。</w:t>
      </w:r>
      <w:bookmarkEnd w:id="596"/>
    </w:p>
    <w:p>
      <w:pPr>
        <w:snapToGrid w:val="0"/>
        <w:spacing w:line="440" w:lineRule="exact"/>
        <w:ind w:firstLine="480" w:firstLineChars="200"/>
        <w:rPr>
          <w:rFonts w:ascii="宋体" w:hAnsi="宋体" w:cs="宋体"/>
          <w:color w:val="auto"/>
          <w:sz w:val="24"/>
          <w:u w:val="single"/>
        </w:rPr>
      </w:pPr>
      <w:r>
        <w:rPr>
          <w:rFonts w:hint="eastAsia" w:ascii="宋体" w:hAnsi="宋体" w:cs="宋体"/>
          <w:color w:val="auto"/>
          <w:sz w:val="24"/>
        </w:rPr>
        <w:t>如我单位中标，我单位承诺按招标文件要求提供服务。</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如果我方的投标书被接受，我方将严格履行招标文件中规定的每一项要求，严格履行合同的责任和义务，保证按期、按质履行合同，完成合同内容所规定的全部工作；投标人在投标之前已经完全理解并接受招标文件的各项规定和要求，对招标文件的合理性、合法性不再有异议。</w:t>
      </w:r>
    </w:p>
    <w:p>
      <w:pPr>
        <w:tabs>
          <w:tab w:val="left" w:pos="780"/>
          <w:tab w:val="left" w:pos="1400"/>
        </w:tabs>
        <w:spacing w:line="440" w:lineRule="exact"/>
        <w:ind w:firstLine="480" w:firstLineChars="200"/>
        <w:rPr>
          <w:rFonts w:ascii="宋体" w:hAnsi="宋体" w:cs="宋体"/>
          <w:color w:val="auto"/>
          <w:sz w:val="24"/>
        </w:rPr>
      </w:pPr>
      <w:r>
        <w:rPr>
          <w:rFonts w:hint="eastAsia" w:ascii="宋体" w:hAnsi="宋体" w:cs="宋体"/>
          <w:color w:val="auto"/>
          <w:sz w:val="24"/>
        </w:rPr>
        <w:t>4.本投标有效期自开标日起60日历天。</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5.如中标，本投标文件至本项目合同履行完毕止均保持有效，本投标人将按“招标文件”及政府采购法律、法规的规定履行合同责任和义务。</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6.投标人同意按照贵方要求提供与投标有关的一切数据或资料。</w:t>
      </w:r>
    </w:p>
    <w:p>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7.与本投标有关的一切正式往来信函请寄：</w:t>
      </w:r>
    </w:p>
    <w:p>
      <w:pPr>
        <w:snapToGrid w:val="0"/>
        <w:spacing w:line="440" w:lineRule="exact"/>
        <w:rPr>
          <w:rFonts w:ascii="宋体" w:hAnsi="宋体" w:cs="宋体"/>
          <w:color w:val="auto"/>
          <w:sz w:val="24"/>
        </w:rPr>
      </w:pPr>
      <w:r>
        <w:rPr>
          <w:rFonts w:hint="eastAsia" w:ascii="宋体" w:hAnsi="宋体" w:cs="宋体"/>
          <w:color w:val="auto"/>
          <w:sz w:val="24"/>
        </w:rPr>
        <w:t xml:space="preserve"> </w:t>
      </w:r>
    </w:p>
    <w:p>
      <w:pPr>
        <w:snapToGrid w:val="0"/>
        <w:spacing w:line="440" w:lineRule="exact"/>
        <w:ind w:firstLine="240" w:firstLineChars="100"/>
        <w:rPr>
          <w:rFonts w:ascii="宋体" w:hAnsi="宋体" w:cs="宋体"/>
          <w:color w:val="auto"/>
          <w:sz w:val="24"/>
        </w:rPr>
      </w:pPr>
      <w:r>
        <w:rPr>
          <w:rFonts w:hint="eastAsia" w:ascii="宋体" w:hAnsi="宋体" w:cs="宋体"/>
          <w:color w:val="auto"/>
          <w:sz w:val="24"/>
        </w:rPr>
        <w:t>投标人名称(公章)</w:t>
      </w:r>
      <w:r>
        <w:rPr>
          <w:rFonts w:hint="eastAsia" w:hAnsi="宋体" w:cs="宋体"/>
          <w:color w:val="auto"/>
          <w:sz w:val="24"/>
        </w:rPr>
        <w:t>：</w:t>
      </w:r>
      <w:r>
        <w:rPr>
          <w:rFonts w:hint="eastAsia" w:ascii="宋体" w:hAnsi="宋体" w:cs="宋体"/>
          <w:color w:val="auto"/>
          <w:sz w:val="24"/>
        </w:rPr>
        <w:t>___________________</w:t>
      </w:r>
    </w:p>
    <w:p>
      <w:pPr>
        <w:snapToGrid w:val="0"/>
        <w:spacing w:line="440" w:lineRule="exact"/>
        <w:ind w:firstLine="240" w:firstLineChars="100"/>
        <w:rPr>
          <w:rFonts w:hAnsi="宋体" w:cs="宋体"/>
          <w:color w:val="auto"/>
          <w:sz w:val="24"/>
        </w:rPr>
      </w:pPr>
    </w:p>
    <w:p>
      <w:pPr>
        <w:snapToGrid w:val="0"/>
        <w:spacing w:line="440" w:lineRule="exact"/>
        <w:ind w:firstLine="240" w:firstLineChars="100"/>
        <w:rPr>
          <w:rFonts w:ascii="宋体" w:hAnsi="宋体" w:cs="宋体"/>
          <w:color w:val="auto"/>
          <w:sz w:val="24"/>
        </w:rPr>
      </w:pPr>
      <w:r>
        <w:rPr>
          <w:rFonts w:hint="eastAsia" w:hAnsi="宋体" w:cs="宋体"/>
          <w:color w:val="auto"/>
          <w:sz w:val="24"/>
        </w:rPr>
        <w:t>法人代表或授权委托人（签字或印章）：</w:t>
      </w:r>
      <w:r>
        <w:rPr>
          <w:rFonts w:hint="eastAsia" w:ascii="宋体" w:hAnsi="宋体" w:cs="宋体"/>
          <w:color w:val="auto"/>
          <w:sz w:val="24"/>
        </w:rPr>
        <w:t xml:space="preserve">___________                     </w:t>
      </w:r>
    </w:p>
    <w:p>
      <w:pPr>
        <w:snapToGrid w:val="0"/>
        <w:spacing w:line="440" w:lineRule="exact"/>
        <w:ind w:firstLine="240" w:firstLineChars="100"/>
        <w:rPr>
          <w:rFonts w:ascii="宋体" w:hAnsi="宋体" w:cs="宋体"/>
          <w:color w:val="auto"/>
          <w:sz w:val="24"/>
        </w:rPr>
      </w:pPr>
      <w:r>
        <w:rPr>
          <w:rFonts w:hint="eastAsia" w:ascii="宋体" w:hAnsi="宋体" w:cs="宋体"/>
          <w:color w:val="auto"/>
          <w:sz w:val="24"/>
        </w:rPr>
        <w:t xml:space="preserve"> </w:t>
      </w:r>
    </w:p>
    <w:p>
      <w:pPr>
        <w:snapToGrid w:val="0"/>
        <w:spacing w:line="440" w:lineRule="exact"/>
        <w:ind w:firstLine="240" w:firstLineChars="100"/>
        <w:rPr>
          <w:rFonts w:ascii="宋体" w:hAnsi="宋体" w:cs="宋体"/>
          <w:color w:val="auto"/>
          <w:sz w:val="24"/>
        </w:rPr>
      </w:pPr>
      <w:r>
        <w:rPr>
          <w:rFonts w:hint="eastAsia" w:ascii="宋体" w:hAnsi="宋体" w:cs="宋体"/>
          <w:color w:val="auto"/>
          <w:sz w:val="24"/>
        </w:rPr>
        <w:t>日期</w:t>
      </w:r>
      <w:r>
        <w:rPr>
          <w:rFonts w:hint="eastAsia" w:hAnsi="宋体" w:cs="宋体"/>
          <w:color w:val="auto"/>
          <w:sz w:val="24"/>
        </w:rPr>
        <w:t>：</w:t>
      </w:r>
      <w:r>
        <w:rPr>
          <w:rFonts w:hint="eastAsia" w:ascii="宋体" w:hAnsi="宋体" w:cs="宋体"/>
          <w:color w:val="auto"/>
          <w:sz w:val="24"/>
        </w:rPr>
        <w:t>___年___月___日</w:t>
      </w:r>
    </w:p>
    <w:p>
      <w:pPr>
        <w:pStyle w:val="123"/>
        <w:tabs>
          <w:tab w:val="left" w:pos="5665"/>
          <w:tab w:val="right" w:pos="8360"/>
        </w:tabs>
        <w:spacing w:line="360" w:lineRule="auto"/>
        <w:ind w:right="42" w:firstLine="1560" w:firstLineChars="650"/>
        <w:jc w:val="left"/>
        <w:rPr>
          <w:rFonts w:hAnsi="宋体" w:cs="宋体"/>
          <w:color w:val="auto"/>
          <w:sz w:val="24"/>
          <w:u w:val="single"/>
        </w:rPr>
      </w:pPr>
    </w:p>
    <w:p>
      <w:pPr>
        <w:pStyle w:val="123"/>
        <w:tabs>
          <w:tab w:val="left" w:pos="5665"/>
          <w:tab w:val="right" w:pos="8360"/>
        </w:tabs>
        <w:spacing w:line="360" w:lineRule="auto"/>
        <w:ind w:right="42" w:firstLine="1365" w:firstLineChars="650"/>
        <w:jc w:val="left"/>
        <w:rPr>
          <w:rFonts w:hAnsi="宋体" w:cs="宋体"/>
          <w:b/>
          <w:color w:val="auto"/>
          <w:sz w:val="21"/>
          <w:szCs w:val="21"/>
          <w:u w:val="single"/>
        </w:rPr>
      </w:pPr>
    </w:p>
    <w:p>
      <w:pPr>
        <w:pStyle w:val="124"/>
        <w:rPr>
          <w:rFonts w:ascii="宋体" w:hAnsi="宋体"/>
          <w:color w:val="auto"/>
        </w:rPr>
      </w:pPr>
      <w:bookmarkStart w:id="583" w:name="_Toc4085"/>
      <w:bookmarkStart w:id="584" w:name="_Toc387526439"/>
      <w:bookmarkStart w:id="585" w:name="_Toc387526347"/>
      <w:bookmarkStart w:id="586" w:name="_Toc387526243"/>
      <w:r>
        <w:rPr>
          <w:rFonts w:hint="eastAsia" w:ascii="宋体" w:hAnsi="宋体"/>
          <w:color w:val="auto"/>
        </w:rPr>
        <w:br w:type="page"/>
      </w:r>
      <w:bookmarkStart w:id="587" w:name="_Toc445046893"/>
      <w:bookmarkStart w:id="588" w:name="_Toc397928633"/>
      <w:r>
        <w:rPr>
          <w:rFonts w:hint="eastAsia" w:ascii="宋体" w:hAnsi="宋体"/>
          <w:color w:val="auto"/>
        </w:rPr>
        <w:t>2.投标报价汇总表</w:t>
      </w:r>
      <w:bookmarkEnd w:id="583"/>
      <w:bookmarkEnd w:id="584"/>
      <w:bookmarkEnd w:id="585"/>
      <w:bookmarkEnd w:id="586"/>
      <w:bookmarkEnd w:id="587"/>
      <w:bookmarkEnd w:id="588"/>
    </w:p>
    <w:p>
      <w:pPr>
        <w:autoSpaceDE w:val="0"/>
        <w:autoSpaceDN w:val="0"/>
        <w:spacing w:line="360" w:lineRule="auto"/>
        <w:ind w:right="-5"/>
        <w:jc w:val="center"/>
        <w:textAlignment w:val="bottom"/>
        <w:rPr>
          <w:rFonts w:ascii="宋体" w:hAnsi="宋体" w:cs="宋体"/>
          <w:color w:val="auto"/>
          <w:sz w:val="32"/>
          <w:szCs w:val="32"/>
        </w:rPr>
      </w:pPr>
      <w:bookmarkStart w:id="589" w:name="_Toc387526349"/>
      <w:bookmarkStart w:id="590" w:name="_Toc397928635"/>
      <w:bookmarkStart w:id="591" w:name="_Toc5065"/>
      <w:bookmarkStart w:id="592" w:name="_Toc445046895"/>
      <w:bookmarkStart w:id="593" w:name="_Toc387526245"/>
      <w:bookmarkStart w:id="594" w:name="_Toc387526441"/>
      <w:r>
        <w:rPr>
          <w:rFonts w:hint="eastAsia" w:ascii="宋体" w:hAnsi="宋体" w:cs="宋体"/>
          <w:color w:val="auto"/>
          <w:sz w:val="32"/>
          <w:szCs w:val="32"/>
        </w:rPr>
        <w:t>投标报价汇总表</w:t>
      </w:r>
    </w:p>
    <w:p>
      <w:pPr>
        <w:spacing w:line="360" w:lineRule="auto"/>
        <w:jc w:val="left"/>
        <w:rPr>
          <w:rFonts w:ascii="宋体" w:hAnsi="宋体" w:cs="宋体"/>
          <w:b/>
          <w:color w:val="auto"/>
          <w:szCs w:val="21"/>
        </w:rPr>
      </w:pPr>
      <w:r>
        <w:rPr>
          <w:rFonts w:hint="eastAsia" w:ascii="宋体" w:hAnsi="宋体" w:cs="宋体"/>
          <w:color w:val="auto"/>
          <w:szCs w:val="21"/>
        </w:rPr>
        <w:t>项目名称：</w:t>
      </w:r>
    </w:p>
    <w:p>
      <w:pPr>
        <w:spacing w:line="360" w:lineRule="auto"/>
        <w:rPr>
          <w:rFonts w:ascii="宋体" w:hAnsi="宋体" w:cs="宋体"/>
          <w:color w:val="auto"/>
          <w:szCs w:val="21"/>
        </w:rPr>
      </w:pPr>
      <w:r>
        <w:rPr>
          <w:rFonts w:hint="eastAsia" w:ascii="宋体" w:hAnsi="宋体" w:cs="宋体"/>
          <w:color w:val="auto"/>
          <w:szCs w:val="21"/>
        </w:rPr>
        <w:t xml:space="preserve">项目编号：                                  </w:t>
      </w:r>
    </w:p>
    <w:tbl>
      <w:tblPr>
        <w:tblStyle w:val="45"/>
        <w:tblW w:w="0" w:type="auto"/>
        <w:jc w:val="center"/>
        <w:tblLayout w:type="fixed"/>
        <w:tblCellMar>
          <w:top w:w="0" w:type="dxa"/>
          <w:left w:w="30" w:type="dxa"/>
          <w:bottom w:w="0" w:type="dxa"/>
          <w:right w:w="30" w:type="dxa"/>
        </w:tblCellMar>
      </w:tblPr>
      <w:tblGrid>
        <w:gridCol w:w="840"/>
        <w:gridCol w:w="3562"/>
        <w:gridCol w:w="888"/>
        <w:gridCol w:w="2111"/>
        <w:gridCol w:w="1766"/>
      </w:tblGrid>
      <w:tr>
        <w:tblPrEx>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序号</w:t>
            </w:r>
          </w:p>
        </w:tc>
        <w:tc>
          <w:tcPr>
            <w:tcW w:w="3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内容</w:t>
            </w:r>
          </w:p>
        </w:tc>
        <w:tc>
          <w:tcPr>
            <w:tcW w:w="8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单位</w:t>
            </w:r>
          </w:p>
        </w:tc>
        <w:tc>
          <w:tcPr>
            <w:tcW w:w="211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价格（</w:t>
            </w:r>
            <w:r>
              <w:rPr>
                <w:rFonts w:hint="eastAsia" w:ascii="宋体" w:hAnsi="宋体" w:cs="宋体"/>
                <w:bCs/>
                <w:color w:val="auto"/>
                <w:szCs w:val="21"/>
              </w:rPr>
              <w:t>人民币元）</w:t>
            </w: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备注</w:t>
            </w:r>
          </w:p>
        </w:tc>
      </w:tr>
      <w:tr>
        <w:tblPrEx>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1</w:t>
            </w:r>
          </w:p>
        </w:tc>
        <w:tc>
          <w:tcPr>
            <w:tcW w:w="3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color w:val="auto"/>
                <w:szCs w:val="21"/>
              </w:rPr>
            </w:pPr>
          </w:p>
        </w:tc>
        <w:tc>
          <w:tcPr>
            <w:tcW w:w="8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p>
        </w:tc>
        <w:tc>
          <w:tcPr>
            <w:tcW w:w="211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r>
      <w:tr>
        <w:tblPrEx>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2</w:t>
            </w:r>
          </w:p>
        </w:tc>
        <w:tc>
          <w:tcPr>
            <w:tcW w:w="3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color w:val="auto"/>
                <w:szCs w:val="21"/>
              </w:rPr>
            </w:pPr>
          </w:p>
        </w:tc>
        <w:tc>
          <w:tcPr>
            <w:tcW w:w="8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p>
        </w:tc>
        <w:tc>
          <w:tcPr>
            <w:tcW w:w="211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r>
      <w:tr>
        <w:tblPrEx>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3</w:t>
            </w:r>
          </w:p>
        </w:tc>
        <w:tc>
          <w:tcPr>
            <w:tcW w:w="3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color w:val="auto"/>
                <w:szCs w:val="21"/>
              </w:rPr>
            </w:pPr>
          </w:p>
        </w:tc>
        <w:tc>
          <w:tcPr>
            <w:tcW w:w="8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p>
        </w:tc>
        <w:tc>
          <w:tcPr>
            <w:tcW w:w="211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r>
      <w:tr>
        <w:tblPrEx>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3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color w:val="auto"/>
                <w:szCs w:val="21"/>
              </w:rPr>
            </w:pPr>
          </w:p>
        </w:tc>
        <w:tc>
          <w:tcPr>
            <w:tcW w:w="8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p>
        </w:tc>
        <w:tc>
          <w:tcPr>
            <w:tcW w:w="211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r>
      <w:tr>
        <w:tblPrEx>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3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宋体" w:hAnsi="宋体" w:cs="宋体"/>
                <w:color w:val="auto"/>
                <w:szCs w:val="21"/>
              </w:rPr>
            </w:pPr>
          </w:p>
        </w:tc>
        <w:tc>
          <w:tcPr>
            <w:tcW w:w="8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p>
        </w:tc>
        <w:tc>
          <w:tcPr>
            <w:tcW w:w="211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r>
      <w:tr>
        <w:tblPrEx>
          <w:tblCellMar>
            <w:top w:w="0" w:type="dxa"/>
            <w:left w:w="30" w:type="dxa"/>
            <w:bottom w:w="0" w:type="dxa"/>
            <w:right w:w="30" w:type="dxa"/>
          </w:tblCellMar>
        </w:tblPrEx>
        <w:trPr>
          <w:trHeight w:val="445" w:hRule="atLeast"/>
          <w:jc w:val="center"/>
        </w:trPr>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356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s="宋体"/>
                <w:color w:val="auto"/>
                <w:szCs w:val="21"/>
              </w:rPr>
            </w:pPr>
          </w:p>
        </w:tc>
        <w:tc>
          <w:tcPr>
            <w:tcW w:w="8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rPr>
            </w:pPr>
          </w:p>
        </w:tc>
        <w:tc>
          <w:tcPr>
            <w:tcW w:w="2111"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r>
      <w:tr>
        <w:tblPrEx>
          <w:tblCellMar>
            <w:top w:w="0" w:type="dxa"/>
            <w:left w:w="30" w:type="dxa"/>
            <w:bottom w:w="0" w:type="dxa"/>
            <w:right w:w="30" w:type="dxa"/>
          </w:tblCellMar>
        </w:tblPrEx>
        <w:trPr>
          <w:trHeight w:val="445" w:hRule="atLeast"/>
          <w:jc w:val="center"/>
        </w:trPr>
        <w:tc>
          <w:tcPr>
            <w:tcW w:w="440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r>
              <w:rPr>
                <w:rFonts w:hint="eastAsia" w:ascii="宋体" w:hAnsi="宋体" w:cs="宋体"/>
                <w:color w:val="auto"/>
                <w:szCs w:val="21"/>
              </w:rPr>
              <w:t>投标总价（人民币小写）</w:t>
            </w:r>
          </w:p>
        </w:tc>
        <w:tc>
          <w:tcPr>
            <w:tcW w:w="299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color w:val="auto"/>
                <w:szCs w:val="21"/>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right"/>
              <w:rPr>
                <w:rFonts w:ascii="宋体" w:hAnsi="宋体" w:cs="宋体"/>
                <w:color w:val="auto"/>
                <w:szCs w:val="21"/>
              </w:rPr>
            </w:pPr>
          </w:p>
        </w:tc>
      </w:tr>
      <w:tr>
        <w:tblPrEx>
          <w:tblCellMar>
            <w:top w:w="0" w:type="dxa"/>
            <w:left w:w="30" w:type="dxa"/>
            <w:bottom w:w="0" w:type="dxa"/>
            <w:right w:w="30" w:type="dxa"/>
          </w:tblCellMar>
        </w:tblPrEx>
        <w:trPr>
          <w:trHeight w:val="635" w:hRule="atLeast"/>
          <w:jc w:val="center"/>
        </w:trPr>
        <w:tc>
          <w:tcPr>
            <w:tcW w:w="9167" w:type="dxa"/>
            <w:gridSpan w:val="5"/>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360" w:lineRule="auto"/>
              <w:ind w:firstLine="210" w:firstLineChars="100"/>
              <w:rPr>
                <w:rFonts w:ascii="宋体" w:hAnsi="宋体" w:cs="宋体"/>
                <w:color w:val="auto"/>
                <w:szCs w:val="21"/>
              </w:rPr>
            </w:pPr>
            <w:r>
              <w:rPr>
                <w:rFonts w:hint="eastAsia" w:ascii="宋体" w:hAnsi="宋体" w:cs="宋体"/>
                <w:color w:val="auto"/>
                <w:szCs w:val="21"/>
              </w:rPr>
              <w:t>投标总价（人民币大写）：</w:t>
            </w:r>
          </w:p>
        </w:tc>
      </w:tr>
      <w:tr>
        <w:tblPrEx>
          <w:tblCellMar>
            <w:top w:w="0" w:type="dxa"/>
            <w:left w:w="30" w:type="dxa"/>
            <w:bottom w:w="0" w:type="dxa"/>
            <w:right w:w="30" w:type="dxa"/>
          </w:tblCellMar>
        </w:tblPrEx>
        <w:trPr>
          <w:trHeight w:val="667" w:hRule="atLeast"/>
          <w:jc w:val="center"/>
        </w:trPr>
        <w:tc>
          <w:tcPr>
            <w:tcW w:w="9167"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firstLine="210" w:firstLineChars="100"/>
              <w:rPr>
                <w:rFonts w:ascii="宋体" w:hAnsi="宋体" w:cs="宋体"/>
                <w:color w:val="auto"/>
                <w:szCs w:val="21"/>
              </w:rPr>
            </w:pPr>
            <w:r>
              <w:rPr>
                <w:rFonts w:hint="eastAsia" w:ascii="宋体" w:hAnsi="宋体" w:cs="宋体"/>
                <w:color w:val="auto"/>
                <w:szCs w:val="21"/>
              </w:rPr>
              <w:t>服务期：</w:t>
            </w:r>
          </w:p>
        </w:tc>
      </w:tr>
    </w:tbl>
    <w:p>
      <w:pPr>
        <w:autoSpaceDE w:val="0"/>
        <w:autoSpaceDN w:val="0"/>
        <w:spacing w:line="360" w:lineRule="auto"/>
        <w:ind w:right="-5"/>
        <w:textAlignment w:val="bottom"/>
        <w:rPr>
          <w:rFonts w:ascii="宋体" w:hAnsi="宋体" w:cs="宋体"/>
          <w:color w:val="auto"/>
          <w:szCs w:val="21"/>
        </w:rPr>
      </w:pPr>
      <w:r>
        <w:rPr>
          <w:rFonts w:hint="eastAsia" w:ascii="宋体" w:hAnsi="宋体" w:cs="宋体"/>
          <w:color w:val="auto"/>
          <w:szCs w:val="21"/>
        </w:rPr>
        <w:t>注：此表的投标总价中已包含投标人完成本招标项目的一切费用包括税费；</w:t>
      </w:r>
    </w:p>
    <w:p>
      <w:pPr>
        <w:autoSpaceDE w:val="0"/>
        <w:autoSpaceDN w:val="0"/>
        <w:spacing w:line="360" w:lineRule="auto"/>
        <w:ind w:right="-5" w:firstLine="420" w:firstLineChars="200"/>
        <w:textAlignment w:val="bottom"/>
        <w:rPr>
          <w:rFonts w:ascii="宋体" w:hAnsi="宋体" w:cs="宋体"/>
          <w:color w:val="auto"/>
          <w:szCs w:val="21"/>
        </w:rPr>
      </w:pPr>
      <w:r>
        <w:rPr>
          <w:rFonts w:hint="eastAsia" w:ascii="宋体" w:hAnsi="宋体" w:cs="宋体"/>
          <w:color w:val="auto"/>
          <w:szCs w:val="21"/>
        </w:rPr>
        <w:t>投标报价汇总等于序号1、2、3......各项之和。</w:t>
      </w:r>
    </w:p>
    <w:p>
      <w:pPr>
        <w:autoSpaceDE w:val="0"/>
        <w:autoSpaceDN w:val="0"/>
        <w:spacing w:line="360" w:lineRule="auto"/>
        <w:ind w:right="-5" w:firstLine="3780" w:firstLineChars="1800"/>
        <w:textAlignment w:val="bottom"/>
        <w:rPr>
          <w:rFonts w:ascii="宋体" w:hAnsi="宋体" w:cs="宋体"/>
          <w:color w:val="auto"/>
          <w:szCs w:val="21"/>
        </w:rPr>
      </w:pPr>
    </w:p>
    <w:p>
      <w:pPr>
        <w:pStyle w:val="123"/>
        <w:tabs>
          <w:tab w:val="left" w:pos="5665"/>
          <w:tab w:val="right" w:pos="8360"/>
        </w:tabs>
        <w:ind w:right="42" w:firstLine="1560" w:firstLineChars="650"/>
        <w:rPr>
          <w:rFonts w:hAnsi="宋体" w:cs="宋体"/>
          <w:color w:val="auto"/>
          <w:sz w:val="24"/>
          <w:u w:val="single"/>
        </w:rPr>
      </w:pPr>
      <w:r>
        <w:rPr>
          <w:rFonts w:hint="eastAsia" w:hAnsi="宋体" w:cs="宋体"/>
          <w:color w:val="auto"/>
          <w:sz w:val="24"/>
        </w:rPr>
        <w:t>投标人(公章)：</w:t>
      </w:r>
    </w:p>
    <w:p>
      <w:pPr>
        <w:pStyle w:val="123"/>
        <w:tabs>
          <w:tab w:val="left" w:pos="5665"/>
          <w:tab w:val="right" w:pos="8360"/>
        </w:tabs>
        <w:ind w:right="42" w:firstLine="1560" w:firstLineChars="650"/>
        <w:rPr>
          <w:rFonts w:hAnsi="宋体" w:cs="宋体"/>
          <w:color w:val="auto"/>
          <w:sz w:val="24"/>
          <w:u w:val="single"/>
        </w:rPr>
      </w:pPr>
    </w:p>
    <w:p>
      <w:pPr>
        <w:pStyle w:val="123"/>
        <w:tabs>
          <w:tab w:val="left" w:pos="5665"/>
          <w:tab w:val="right" w:pos="8360"/>
        </w:tabs>
        <w:ind w:right="42" w:firstLine="1560" w:firstLineChars="650"/>
        <w:rPr>
          <w:rFonts w:hAnsi="宋体" w:cs="宋体"/>
          <w:color w:val="auto"/>
          <w:sz w:val="24"/>
          <w:u w:val="single"/>
        </w:rPr>
      </w:pPr>
      <w:r>
        <w:rPr>
          <w:rFonts w:hint="eastAsia" w:hAnsi="宋体" w:cs="宋体"/>
          <w:color w:val="auto"/>
          <w:sz w:val="24"/>
        </w:rPr>
        <w:t>法人代表或授权委托人（签字或印章）：</w:t>
      </w:r>
    </w:p>
    <w:p>
      <w:pPr>
        <w:pStyle w:val="123"/>
        <w:tabs>
          <w:tab w:val="left" w:pos="5665"/>
          <w:tab w:val="right" w:pos="8360"/>
        </w:tabs>
        <w:ind w:right="42" w:firstLine="1560" w:firstLineChars="650"/>
        <w:rPr>
          <w:rFonts w:hAnsi="宋体" w:cs="宋体"/>
          <w:color w:val="auto"/>
          <w:sz w:val="24"/>
          <w:u w:val="single"/>
        </w:rPr>
      </w:pPr>
    </w:p>
    <w:p>
      <w:pPr>
        <w:pStyle w:val="123"/>
        <w:tabs>
          <w:tab w:val="left" w:pos="5665"/>
          <w:tab w:val="right" w:pos="8360"/>
        </w:tabs>
        <w:ind w:right="42" w:firstLine="1575" w:firstLineChars="750"/>
        <w:jc w:val="left"/>
        <w:rPr>
          <w:rFonts w:hAnsi="宋体" w:cs="宋体"/>
          <w:color w:val="auto"/>
          <w:sz w:val="21"/>
          <w:szCs w:val="21"/>
          <w:u w:val="single"/>
        </w:rPr>
      </w:pPr>
      <w:r>
        <w:rPr>
          <w:rFonts w:hint="eastAsia" w:hAnsi="宋体" w:cs="宋体"/>
          <w:color w:val="auto"/>
          <w:sz w:val="21"/>
          <w:szCs w:val="21"/>
        </w:rPr>
        <w:t>日 期：</w:t>
      </w:r>
    </w:p>
    <w:p>
      <w:pPr>
        <w:spacing w:line="360" w:lineRule="auto"/>
        <w:rPr>
          <w:rFonts w:ascii="宋体" w:hAnsi="宋体" w:cs="宋体"/>
          <w:color w:val="auto"/>
          <w:szCs w:val="21"/>
        </w:rPr>
      </w:pPr>
    </w:p>
    <w:p>
      <w:pPr>
        <w:spacing w:line="360" w:lineRule="auto"/>
        <w:rPr>
          <w:rFonts w:ascii="宋体" w:hAnsi="宋体" w:cs="宋体"/>
          <w:color w:val="auto"/>
          <w:sz w:val="24"/>
        </w:rPr>
      </w:pPr>
      <w:r>
        <w:rPr>
          <w:rFonts w:hint="eastAsia" w:ascii="宋体" w:hAnsi="宋体" w:cs="宋体"/>
          <w:b/>
          <w:color w:val="auto"/>
          <w:szCs w:val="21"/>
        </w:rPr>
        <w:br w:type="page"/>
      </w:r>
      <w:r>
        <w:rPr>
          <w:rFonts w:hint="eastAsia" w:ascii="宋体" w:hAnsi="宋体" w:cs="宋体"/>
          <w:b/>
          <w:color w:val="auto"/>
          <w:sz w:val="28"/>
          <w:szCs w:val="28"/>
        </w:rPr>
        <w:t xml:space="preserve"> 2.1报价明细表</w:t>
      </w:r>
    </w:p>
    <w:p>
      <w:pPr>
        <w:spacing w:line="360" w:lineRule="auto"/>
        <w:jc w:val="left"/>
        <w:rPr>
          <w:rFonts w:ascii="宋体" w:hAnsi="宋体" w:cs="宋体"/>
          <w:color w:val="auto"/>
          <w:szCs w:val="21"/>
        </w:rPr>
      </w:pPr>
      <w:r>
        <w:rPr>
          <w:rFonts w:hint="eastAsia" w:ascii="宋体" w:hAnsi="宋体" w:cs="宋体"/>
          <w:color w:val="auto"/>
          <w:szCs w:val="21"/>
        </w:rPr>
        <w:t xml:space="preserve">项目名称：                                  </w:t>
      </w:r>
    </w:p>
    <w:p>
      <w:pPr>
        <w:spacing w:line="360" w:lineRule="auto"/>
        <w:jc w:val="left"/>
        <w:rPr>
          <w:rFonts w:ascii="宋体" w:hAnsi="宋体" w:cs="宋体"/>
          <w:color w:val="auto"/>
          <w:szCs w:val="21"/>
        </w:rPr>
      </w:pPr>
      <w:r>
        <w:rPr>
          <w:rFonts w:hint="eastAsia" w:ascii="宋体" w:hAnsi="宋体" w:cs="宋体"/>
          <w:color w:val="auto"/>
          <w:szCs w:val="21"/>
        </w:rPr>
        <w:t xml:space="preserve">项目编号：                               </w:t>
      </w:r>
    </w:p>
    <w:p>
      <w:pPr>
        <w:spacing w:line="360" w:lineRule="auto"/>
        <w:jc w:val="left"/>
        <w:rPr>
          <w:rFonts w:ascii="宋体" w:hAnsi="宋体" w:cs="宋体"/>
          <w:color w:val="auto"/>
          <w:szCs w:val="21"/>
        </w:rPr>
      </w:pPr>
      <w:r>
        <w:rPr>
          <w:rFonts w:hint="eastAsia" w:ascii="宋体" w:hAnsi="宋体" w:cs="宋体"/>
          <w:color w:val="auto"/>
          <w:szCs w:val="21"/>
        </w:rPr>
        <w:t>报价单位：人民币元</w:t>
      </w:r>
    </w:p>
    <w:tbl>
      <w:tblPr>
        <w:tblStyle w:val="45"/>
        <w:tblW w:w="0" w:type="auto"/>
        <w:tblInd w:w="3" w:type="dxa"/>
        <w:tblLayout w:type="fixed"/>
        <w:tblCellMar>
          <w:top w:w="0" w:type="dxa"/>
          <w:left w:w="108" w:type="dxa"/>
          <w:bottom w:w="0" w:type="dxa"/>
          <w:right w:w="108" w:type="dxa"/>
        </w:tblCellMar>
      </w:tblPr>
      <w:tblGrid>
        <w:gridCol w:w="735"/>
        <w:gridCol w:w="1541"/>
        <w:gridCol w:w="1609"/>
        <w:gridCol w:w="728"/>
        <w:gridCol w:w="784"/>
        <w:gridCol w:w="898"/>
        <w:gridCol w:w="898"/>
        <w:gridCol w:w="1417"/>
      </w:tblGrid>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auto"/>
                <w:szCs w:val="21"/>
              </w:rPr>
            </w:pPr>
            <w:r>
              <w:rPr>
                <w:rFonts w:hint="eastAsia" w:ascii="宋体" w:hAnsi="宋体" w:cs="宋体"/>
                <w:color w:val="auto"/>
                <w:szCs w:val="21"/>
              </w:rPr>
              <w:t>序号</w:t>
            </w:r>
          </w:p>
        </w:tc>
        <w:tc>
          <w:tcPr>
            <w:tcW w:w="1541"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ascii="宋体" w:hAnsi="宋体" w:cs="宋体"/>
                <w:color w:val="auto"/>
                <w:szCs w:val="21"/>
              </w:rPr>
            </w:pPr>
            <w:r>
              <w:rPr>
                <w:rFonts w:hint="eastAsia" w:ascii="宋体" w:hAnsi="宋体" w:cs="宋体"/>
                <w:color w:val="auto"/>
                <w:szCs w:val="21"/>
              </w:rPr>
              <w:t>名称</w:t>
            </w:r>
          </w:p>
        </w:tc>
        <w:tc>
          <w:tcPr>
            <w:tcW w:w="1609"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auto"/>
                <w:szCs w:val="21"/>
              </w:rPr>
            </w:pPr>
            <w:r>
              <w:rPr>
                <w:rFonts w:hint="eastAsia" w:ascii="宋体" w:hAnsi="宋体" w:cs="宋体"/>
                <w:color w:val="auto"/>
                <w:szCs w:val="21"/>
              </w:rPr>
              <w:t>技术参数</w:t>
            </w:r>
          </w:p>
        </w:tc>
        <w:tc>
          <w:tcPr>
            <w:tcW w:w="72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auto"/>
                <w:szCs w:val="21"/>
              </w:rPr>
            </w:pPr>
            <w:r>
              <w:rPr>
                <w:rFonts w:hint="eastAsia" w:ascii="宋体" w:hAnsi="宋体" w:cs="宋体"/>
                <w:color w:val="auto"/>
                <w:szCs w:val="21"/>
              </w:rPr>
              <w:t>单位</w:t>
            </w:r>
          </w:p>
        </w:tc>
        <w:tc>
          <w:tcPr>
            <w:tcW w:w="784"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auto"/>
                <w:szCs w:val="21"/>
              </w:rPr>
            </w:pPr>
            <w:r>
              <w:rPr>
                <w:rFonts w:hint="eastAsia" w:ascii="宋体" w:hAnsi="宋体" w:cs="宋体"/>
                <w:color w:val="auto"/>
                <w:szCs w:val="21"/>
              </w:rPr>
              <w:t>数量</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auto"/>
                <w:szCs w:val="21"/>
              </w:rPr>
            </w:pPr>
            <w:r>
              <w:rPr>
                <w:rFonts w:hint="eastAsia" w:ascii="宋体" w:hAnsi="宋体" w:cs="宋体"/>
                <w:color w:val="auto"/>
                <w:szCs w:val="21"/>
              </w:rPr>
              <w:t>单价</w:t>
            </w:r>
          </w:p>
        </w:tc>
        <w:tc>
          <w:tcPr>
            <w:tcW w:w="898"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360" w:lineRule="auto"/>
              <w:ind w:right="-5"/>
              <w:jc w:val="center"/>
              <w:textAlignment w:val="bottom"/>
              <w:rPr>
                <w:rFonts w:ascii="宋体" w:hAnsi="宋体" w:cs="宋体"/>
                <w:color w:val="auto"/>
                <w:szCs w:val="21"/>
              </w:rPr>
            </w:pPr>
            <w:r>
              <w:rPr>
                <w:rFonts w:hint="eastAsia" w:ascii="宋体" w:hAnsi="宋体" w:cs="宋体"/>
                <w:color w:val="auto"/>
                <w:szCs w:val="21"/>
              </w:rPr>
              <w:t>总价</w:t>
            </w:r>
          </w:p>
        </w:tc>
        <w:tc>
          <w:tcPr>
            <w:tcW w:w="1417" w:type="dxa"/>
            <w:tcBorders>
              <w:top w:val="single" w:color="auto" w:sz="4" w:space="0"/>
              <w:left w:val="single" w:color="auto" w:sz="6" w:space="0"/>
              <w:bottom w:val="single" w:color="auto" w:sz="4" w:space="0"/>
              <w:right w:val="single" w:color="auto" w:sz="4" w:space="0"/>
            </w:tcBorders>
            <w:vAlign w:val="center"/>
          </w:tcPr>
          <w:p>
            <w:pPr>
              <w:autoSpaceDE w:val="0"/>
              <w:autoSpaceDN w:val="0"/>
              <w:spacing w:line="360" w:lineRule="auto"/>
              <w:ind w:right="-5"/>
              <w:jc w:val="center"/>
              <w:textAlignment w:val="bottom"/>
              <w:rPr>
                <w:rFonts w:ascii="宋体" w:hAnsi="宋体" w:cs="宋体"/>
                <w:color w:val="auto"/>
                <w:szCs w:val="21"/>
              </w:rPr>
            </w:pPr>
            <w:r>
              <w:rPr>
                <w:rFonts w:hint="eastAsia" w:ascii="宋体" w:hAnsi="宋体" w:cs="宋体"/>
                <w:color w:val="auto"/>
                <w:szCs w:val="21"/>
              </w:rPr>
              <w:t>备注</w:t>
            </w: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r>
        <w:tblPrEx>
          <w:tblCellMar>
            <w:top w:w="0" w:type="dxa"/>
            <w:left w:w="108" w:type="dxa"/>
            <w:bottom w:w="0" w:type="dxa"/>
            <w:right w:w="108" w:type="dxa"/>
          </w:tblCellMar>
        </w:tblPrEx>
        <w:trPr>
          <w:cantSplit/>
          <w:trHeight w:val="655" w:hRule="atLeast"/>
        </w:trPr>
        <w:tc>
          <w:tcPr>
            <w:tcW w:w="735"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541"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c>
          <w:tcPr>
            <w:tcW w:w="1609" w:type="dxa"/>
            <w:tcBorders>
              <w:top w:val="single" w:color="auto" w:sz="4" w:space="0"/>
              <w:left w:val="single" w:color="auto" w:sz="4"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2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784"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898" w:type="dxa"/>
            <w:tcBorders>
              <w:top w:val="single" w:color="auto" w:sz="4" w:space="0"/>
              <w:left w:val="single" w:color="auto" w:sz="6" w:space="0"/>
              <w:bottom w:val="single" w:color="auto" w:sz="4" w:space="0"/>
              <w:right w:val="single" w:color="auto" w:sz="6" w:space="0"/>
            </w:tcBorders>
          </w:tcPr>
          <w:p>
            <w:pPr>
              <w:autoSpaceDE w:val="0"/>
              <w:autoSpaceDN w:val="0"/>
              <w:spacing w:line="360" w:lineRule="auto"/>
              <w:ind w:right="-5"/>
              <w:jc w:val="center"/>
              <w:textAlignment w:val="bottom"/>
              <w:rPr>
                <w:rFonts w:ascii="宋体" w:hAnsi="宋体" w:cs="宋体"/>
                <w:color w:val="auto"/>
                <w:szCs w:val="21"/>
              </w:rPr>
            </w:pPr>
          </w:p>
        </w:tc>
        <w:tc>
          <w:tcPr>
            <w:tcW w:w="1417" w:type="dxa"/>
            <w:tcBorders>
              <w:top w:val="single" w:color="auto" w:sz="4" w:space="0"/>
              <w:left w:val="single" w:color="auto" w:sz="6" w:space="0"/>
              <w:bottom w:val="single" w:color="auto" w:sz="4" w:space="0"/>
              <w:right w:val="single" w:color="auto" w:sz="4" w:space="0"/>
            </w:tcBorders>
          </w:tcPr>
          <w:p>
            <w:pPr>
              <w:autoSpaceDE w:val="0"/>
              <w:autoSpaceDN w:val="0"/>
              <w:spacing w:line="360" w:lineRule="auto"/>
              <w:ind w:right="-5"/>
              <w:jc w:val="center"/>
              <w:textAlignment w:val="bottom"/>
              <w:rPr>
                <w:rFonts w:ascii="宋体" w:hAnsi="宋体" w:cs="宋体"/>
                <w:color w:val="auto"/>
                <w:szCs w:val="21"/>
              </w:rPr>
            </w:pPr>
          </w:p>
        </w:tc>
      </w:tr>
    </w:tbl>
    <w:p>
      <w:pPr>
        <w:spacing w:line="360" w:lineRule="auto"/>
        <w:rPr>
          <w:rFonts w:ascii="宋体" w:hAnsi="宋体" w:cs="宋体"/>
          <w:color w:val="auto"/>
          <w:sz w:val="24"/>
        </w:rPr>
      </w:pPr>
    </w:p>
    <w:p>
      <w:pPr>
        <w:pStyle w:val="123"/>
        <w:tabs>
          <w:tab w:val="left" w:pos="5665"/>
          <w:tab w:val="right" w:pos="8360"/>
        </w:tabs>
        <w:ind w:right="42"/>
        <w:rPr>
          <w:rFonts w:hAnsi="宋体" w:cs="宋体"/>
          <w:color w:val="auto"/>
          <w:sz w:val="24"/>
          <w:u w:val="single"/>
        </w:rPr>
      </w:pPr>
      <w:r>
        <w:rPr>
          <w:rFonts w:hint="eastAsia" w:hAnsi="宋体" w:cs="宋体"/>
          <w:color w:val="auto"/>
          <w:sz w:val="24"/>
        </w:rPr>
        <w:t>投标人(公章)：</w:t>
      </w:r>
    </w:p>
    <w:p>
      <w:pPr>
        <w:pStyle w:val="123"/>
        <w:tabs>
          <w:tab w:val="left" w:pos="5665"/>
          <w:tab w:val="right" w:pos="8360"/>
        </w:tabs>
        <w:ind w:right="42" w:firstLine="1560" w:firstLineChars="650"/>
        <w:rPr>
          <w:rFonts w:hAnsi="宋体" w:cs="宋体"/>
          <w:color w:val="auto"/>
          <w:sz w:val="24"/>
          <w:u w:val="single"/>
        </w:rPr>
      </w:pPr>
    </w:p>
    <w:p>
      <w:pPr>
        <w:pStyle w:val="123"/>
        <w:tabs>
          <w:tab w:val="left" w:pos="5665"/>
          <w:tab w:val="right" w:pos="8360"/>
        </w:tabs>
        <w:ind w:right="42"/>
        <w:rPr>
          <w:rFonts w:hAnsi="宋体" w:cs="宋体"/>
          <w:color w:val="auto"/>
          <w:sz w:val="24"/>
          <w:u w:val="single"/>
        </w:rPr>
      </w:pPr>
      <w:r>
        <w:rPr>
          <w:rFonts w:hint="eastAsia" w:hAnsi="宋体" w:cs="宋体"/>
          <w:color w:val="auto"/>
          <w:sz w:val="24"/>
        </w:rPr>
        <w:t>法人代表或授权委托人（签字或印章）：</w:t>
      </w:r>
    </w:p>
    <w:p>
      <w:pPr>
        <w:pStyle w:val="123"/>
        <w:tabs>
          <w:tab w:val="left" w:pos="5665"/>
          <w:tab w:val="right" w:pos="8360"/>
        </w:tabs>
        <w:ind w:right="42"/>
        <w:rPr>
          <w:rFonts w:hAnsi="宋体" w:cs="宋体"/>
          <w:color w:val="auto"/>
          <w:sz w:val="24"/>
          <w:u w:val="single"/>
        </w:rPr>
      </w:pPr>
    </w:p>
    <w:p>
      <w:pPr>
        <w:pStyle w:val="123"/>
        <w:tabs>
          <w:tab w:val="left" w:pos="5665"/>
          <w:tab w:val="right" w:pos="8360"/>
        </w:tabs>
        <w:ind w:right="42"/>
        <w:jc w:val="left"/>
        <w:rPr>
          <w:rFonts w:hAnsi="宋体" w:cs="宋体"/>
          <w:color w:val="auto"/>
          <w:sz w:val="21"/>
          <w:szCs w:val="21"/>
          <w:u w:val="single"/>
        </w:rPr>
      </w:pPr>
      <w:r>
        <w:rPr>
          <w:rFonts w:hint="eastAsia" w:hAnsi="宋体" w:cs="宋体"/>
          <w:color w:val="auto"/>
          <w:sz w:val="21"/>
          <w:szCs w:val="21"/>
        </w:rPr>
        <w:t>日 期：</w:t>
      </w:r>
    </w:p>
    <w:p>
      <w:pPr>
        <w:spacing w:line="360" w:lineRule="auto"/>
        <w:rPr>
          <w:rFonts w:ascii="宋体" w:hAnsi="宋体" w:cs="宋体"/>
          <w:b/>
          <w:color w:val="auto"/>
          <w:sz w:val="28"/>
          <w:szCs w:val="28"/>
        </w:rPr>
      </w:pPr>
      <w:r>
        <w:rPr>
          <w:rFonts w:hint="eastAsia" w:ascii="宋体" w:hAnsi="宋体"/>
          <w:color w:val="auto"/>
        </w:rPr>
        <w:br w:type="page"/>
      </w:r>
      <w:r>
        <w:rPr>
          <w:rFonts w:hint="eastAsia" w:ascii="宋体" w:hAnsi="宋体" w:cs="宋体"/>
          <w:b/>
          <w:color w:val="auto"/>
          <w:sz w:val="28"/>
          <w:szCs w:val="28"/>
        </w:rPr>
        <w:t>3.授权委托书</w:t>
      </w:r>
      <w:bookmarkEnd w:id="589"/>
      <w:bookmarkEnd w:id="590"/>
      <w:bookmarkEnd w:id="591"/>
      <w:bookmarkEnd w:id="592"/>
      <w:bookmarkEnd w:id="593"/>
      <w:bookmarkEnd w:id="594"/>
    </w:p>
    <w:p>
      <w:pPr>
        <w:autoSpaceDE w:val="0"/>
        <w:autoSpaceDN w:val="0"/>
        <w:adjustRightInd w:val="0"/>
        <w:jc w:val="center"/>
        <w:rPr>
          <w:rFonts w:ascii="宋体" w:hAnsi="宋体" w:cs="宋体"/>
          <w:color w:val="auto"/>
          <w:kern w:val="0"/>
          <w:sz w:val="32"/>
          <w:szCs w:val="32"/>
        </w:rPr>
      </w:pPr>
      <w:r>
        <w:rPr>
          <w:rFonts w:hint="eastAsia" w:ascii="宋体" w:hAnsi="宋体" w:cs="宋体"/>
          <w:color w:val="auto"/>
          <w:kern w:val="0"/>
          <w:sz w:val="32"/>
          <w:szCs w:val="32"/>
        </w:rPr>
        <w:t>授权委托书</w:t>
      </w:r>
    </w:p>
    <w:p>
      <w:pPr>
        <w:autoSpaceDE w:val="0"/>
        <w:autoSpaceDN w:val="0"/>
        <w:adjustRightInd w:val="0"/>
        <w:jc w:val="center"/>
        <w:rPr>
          <w:rFonts w:ascii="宋体" w:hAnsi="宋体" w:cs="宋体"/>
          <w:color w:val="auto"/>
          <w:kern w:val="0"/>
          <w:szCs w:val="21"/>
        </w:rPr>
      </w:pP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本人（姓名）系（投标人名称）的法定代表人，现委托（姓名）为我方代理人。代理人根据授权，以我方名义签署、澄清、说明、补正、递交、撤回、修改</w:t>
      </w:r>
      <w:r>
        <w:rPr>
          <w:rFonts w:hint="eastAsia" w:ascii="宋体" w:hAnsi="宋体" w:cs="宋体"/>
          <w:color w:val="auto"/>
          <w:kern w:val="0"/>
          <w:szCs w:val="21"/>
          <w:u w:val="single"/>
        </w:rPr>
        <w:t xml:space="preserve">             （项目名称及标段）      </w:t>
      </w:r>
      <w:r>
        <w:rPr>
          <w:rFonts w:hint="eastAsia" w:ascii="宋体" w:hAnsi="宋体" w:cs="宋体"/>
          <w:color w:val="auto"/>
          <w:kern w:val="0"/>
          <w:szCs w:val="21"/>
        </w:rPr>
        <w:t>投标文件、签订合同和处理有关事宜，其法律后果由我方承担。</w:t>
      </w: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委托期限： 。</w:t>
      </w:r>
    </w:p>
    <w:p>
      <w:pPr>
        <w:autoSpaceDE w:val="0"/>
        <w:autoSpaceDN w:val="0"/>
        <w:adjustRightInd w:val="0"/>
        <w:spacing w:line="360" w:lineRule="auto"/>
        <w:ind w:firstLine="420" w:firstLineChars="200"/>
        <w:jc w:val="left"/>
        <w:rPr>
          <w:rFonts w:ascii="宋体" w:hAnsi="宋体" w:cs="宋体"/>
          <w:color w:val="auto"/>
          <w:kern w:val="0"/>
          <w:szCs w:val="21"/>
        </w:rPr>
      </w:pP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代理人无转委托权。</w:t>
      </w:r>
    </w:p>
    <w:p>
      <w:pPr>
        <w:autoSpaceDE w:val="0"/>
        <w:autoSpaceDN w:val="0"/>
        <w:adjustRightInd w:val="0"/>
        <w:spacing w:line="360" w:lineRule="auto"/>
        <w:ind w:firstLine="420" w:firstLineChars="200"/>
        <w:jc w:val="left"/>
        <w:rPr>
          <w:rFonts w:ascii="宋体" w:hAnsi="宋体" w:cs="宋体"/>
          <w:color w:val="auto"/>
          <w:kern w:val="0"/>
          <w:szCs w:val="21"/>
        </w:rPr>
      </w:pP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附：法定代表人身份证明</w:t>
      </w:r>
    </w:p>
    <w:p>
      <w:pPr>
        <w:autoSpaceDE w:val="0"/>
        <w:autoSpaceDN w:val="0"/>
        <w:adjustRightInd w:val="0"/>
        <w:spacing w:line="360" w:lineRule="auto"/>
        <w:ind w:firstLine="420" w:firstLineChars="200"/>
        <w:jc w:val="left"/>
        <w:rPr>
          <w:rFonts w:ascii="宋体" w:hAnsi="宋体" w:cs="宋体"/>
          <w:color w:val="auto"/>
          <w:kern w:val="0"/>
          <w:szCs w:val="21"/>
        </w:rPr>
      </w:pP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投  标  人：（盖单位章）</w:t>
      </w:r>
    </w:p>
    <w:p>
      <w:pPr>
        <w:autoSpaceDE w:val="0"/>
        <w:autoSpaceDN w:val="0"/>
        <w:adjustRightInd w:val="0"/>
        <w:spacing w:line="360" w:lineRule="auto"/>
        <w:ind w:firstLine="420" w:firstLineChars="200"/>
        <w:jc w:val="left"/>
        <w:rPr>
          <w:rFonts w:ascii="宋体" w:hAnsi="宋体" w:cs="宋体"/>
          <w:color w:val="auto"/>
          <w:kern w:val="0"/>
          <w:szCs w:val="21"/>
        </w:rPr>
      </w:pP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法定代表人：（签字）</w:t>
      </w:r>
    </w:p>
    <w:p>
      <w:pPr>
        <w:autoSpaceDE w:val="0"/>
        <w:autoSpaceDN w:val="0"/>
        <w:adjustRightInd w:val="0"/>
        <w:spacing w:line="360" w:lineRule="auto"/>
        <w:ind w:firstLine="420" w:firstLineChars="200"/>
        <w:jc w:val="left"/>
        <w:rPr>
          <w:rFonts w:ascii="宋体" w:hAnsi="宋体" w:cs="宋体"/>
          <w:color w:val="auto"/>
          <w:kern w:val="0"/>
          <w:szCs w:val="21"/>
        </w:rPr>
      </w:pPr>
    </w:p>
    <w:p>
      <w:pPr>
        <w:autoSpaceDE w:val="0"/>
        <w:autoSpaceDN w:val="0"/>
        <w:adjustRightInd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身份证号码：</w:t>
      </w:r>
    </w:p>
    <w:p>
      <w:pPr>
        <w:autoSpaceDE w:val="0"/>
        <w:autoSpaceDN w:val="0"/>
        <w:adjustRightInd w:val="0"/>
        <w:spacing w:line="360" w:lineRule="auto"/>
        <w:ind w:firstLine="420" w:firstLineChars="200"/>
        <w:jc w:val="left"/>
        <w:rPr>
          <w:rFonts w:ascii="宋体" w:hAnsi="宋体" w:cs="宋体"/>
          <w:color w:val="auto"/>
          <w:kern w:val="0"/>
          <w:szCs w:val="21"/>
        </w:rPr>
      </w:pPr>
    </w:p>
    <w:p>
      <w:pPr>
        <w:autoSpaceDE w:val="0"/>
        <w:autoSpaceDN w:val="0"/>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委托代理人：（签字）</w:t>
      </w:r>
    </w:p>
    <w:p>
      <w:pPr>
        <w:autoSpaceDE w:val="0"/>
        <w:autoSpaceDN w:val="0"/>
        <w:adjustRightInd w:val="0"/>
        <w:spacing w:line="360" w:lineRule="auto"/>
        <w:ind w:firstLine="420" w:firstLineChars="200"/>
        <w:jc w:val="left"/>
        <w:rPr>
          <w:rFonts w:ascii="宋体" w:hAnsi="宋体" w:cs="宋体"/>
          <w:color w:val="auto"/>
          <w:kern w:val="0"/>
          <w:szCs w:val="21"/>
        </w:rPr>
      </w:pPr>
    </w:p>
    <w:p>
      <w:pPr>
        <w:autoSpaceDE w:val="0"/>
        <w:autoSpaceDN w:val="0"/>
        <w:adjustRightInd w:val="0"/>
        <w:spacing w:line="360" w:lineRule="auto"/>
        <w:ind w:firstLine="420" w:firstLineChars="200"/>
        <w:jc w:val="left"/>
        <w:rPr>
          <w:rFonts w:ascii="宋体" w:hAnsi="宋体" w:cs="宋体"/>
          <w:color w:val="auto"/>
          <w:kern w:val="0"/>
          <w:szCs w:val="21"/>
          <w:u w:val="single"/>
        </w:rPr>
      </w:pPr>
      <w:r>
        <w:rPr>
          <w:rFonts w:hint="eastAsia" w:ascii="宋体" w:hAnsi="宋体" w:cs="宋体"/>
          <w:color w:val="auto"/>
          <w:kern w:val="0"/>
          <w:szCs w:val="21"/>
        </w:rPr>
        <w:t>身份证号码：</w:t>
      </w:r>
    </w:p>
    <w:p>
      <w:pPr>
        <w:autoSpaceDE w:val="0"/>
        <w:autoSpaceDN w:val="0"/>
        <w:adjustRightInd w:val="0"/>
        <w:spacing w:line="360" w:lineRule="auto"/>
        <w:ind w:firstLine="420" w:firstLineChars="200"/>
        <w:jc w:val="left"/>
        <w:rPr>
          <w:rFonts w:ascii="宋体" w:hAnsi="宋体" w:cs="宋体"/>
          <w:color w:val="auto"/>
          <w:kern w:val="0"/>
          <w:szCs w:val="21"/>
        </w:rPr>
      </w:pPr>
    </w:p>
    <w:p>
      <w:pPr>
        <w:autoSpaceDE w:val="0"/>
        <w:autoSpaceDN w:val="0"/>
        <w:adjustRightInd w:val="0"/>
        <w:spacing w:line="360" w:lineRule="auto"/>
        <w:ind w:firstLine="3255" w:firstLineChars="1550"/>
        <w:jc w:val="left"/>
        <w:rPr>
          <w:rFonts w:ascii="宋体" w:hAnsi="宋体" w:cs="宋体"/>
          <w:color w:val="auto"/>
          <w:kern w:val="0"/>
          <w:szCs w:val="21"/>
          <w:u w:val="single"/>
        </w:rPr>
      </w:pPr>
    </w:p>
    <w:p>
      <w:pPr>
        <w:autoSpaceDE w:val="0"/>
        <w:autoSpaceDN w:val="0"/>
        <w:adjustRightInd w:val="0"/>
        <w:spacing w:line="360" w:lineRule="auto"/>
        <w:ind w:firstLine="3255" w:firstLineChars="1550"/>
        <w:jc w:val="left"/>
        <w:rPr>
          <w:rFonts w:ascii="宋体" w:hAnsi="宋体" w:cs="宋体"/>
          <w:color w:val="auto"/>
          <w:kern w:val="0"/>
          <w:szCs w:val="21"/>
          <w:u w:val="single"/>
        </w:rPr>
      </w:pPr>
    </w:p>
    <w:p>
      <w:pPr>
        <w:autoSpaceDE w:val="0"/>
        <w:autoSpaceDN w:val="0"/>
        <w:adjustRightInd w:val="0"/>
        <w:spacing w:line="360" w:lineRule="auto"/>
        <w:ind w:firstLine="3255" w:firstLineChars="1550"/>
        <w:jc w:val="left"/>
        <w:rPr>
          <w:rFonts w:ascii="宋体" w:hAnsi="宋体" w:cs="宋体"/>
          <w:color w:val="auto"/>
          <w:kern w:val="0"/>
          <w:szCs w:val="21"/>
          <w:u w:val="single"/>
        </w:rPr>
      </w:pPr>
    </w:p>
    <w:p>
      <w:pPr>
        <w:autoSpaceDE w:val="0"/>
        <w:autoSpaceDN w:val="0"/>
        <w:adjustRightInd w:val="0"/>
        <w:spacing w:line="360" w:lineRule="auto"/>
        <w:ind w:firstLine="3255" w:firstLineChars="1550"/>
        <w:jc w:val="left"/>
        <w:rPr>
          <w:rFonts w:ascii="宋体" w:hAnsi="宋体" w:cs="宋体"/>
          <w:color w:val="auto"/>
          <w:kern w:val="0"/>
          <w:szCs w:val="21"/>
        </w:rPr>
      </w:pPr>
      <w:r>
        <w:rPr>
          <w:rFonts w:hint="eastAsia" w:ascii="宋体" w:hAnsi="宋体" w:cs="宋体"/>
          <w:color w:val="auto"/>
          <w:kern w:val="0"/>
          <w:szCs w:val="21"/>
        </w:rPr>
        <w:t>年月日</w:t>
      </w:r>
    </w:p>
    <w:p>
      <w:pPr>
        <w:pStyle w:val="123"/>
        <w:spacing w:line="360" w:lineRule="auto"/>
        <w:jc w:val="left"/>
        <w:rPr>
          <w:rFonts w:hAnsi="宋体" w:cs="宋体"/>
          <w:color w:val="auto"/>
          <w:sz w:val="24"/>
        </w:rPr>
      </w:pPr>
    </w:p>
    <w:p>
      <w:pPr>
        <w:pStyle w:val="123"/>
        <w:spacing w:line="360" w:lineRule="auto"/>
        <w:jc w:val="left"/>
        <w:rPr>
          <w:rFonts w:hAnsi="宋体" w:cs="宋体"/>
          <w:color w:val="auto"/>
          <w:sz w:val="24"/>
        </w:rPr>
      </w:pPr>
    </w:p>
    <w:p>
      <w:pPr>
        <w:pStyle w:val="123"/>
        <w:spacing w:line="360" w:lineRule="auto"/>
        <w:jc w:val="left"/>
        <w:rPr>
          <w:rFonts w:hAnsi="宋体" w:cs="宋体"/>
          <w:color w:val="auto"/>
          <w:sz w:val="24"/>
        </w:rPr>
      </w:pPr>
    </w:p>
    <w:p>
      <w:pPr>
        <w:pStyle w:val="4"/>
        <w:spacing w:line="360" w:lineRule="auto"/>
        <w:rPr>
          <w:rFonts w:ascii="宋体" w:hAnsi="宋体" w:eastAsia="宋体" w:cs="宋体"/>
          <w:color w:val="auto"/>
          <w:kern w:val="0"/>
          <w:sz w:val="30"/>
          <w:szCs w:val="30"/>
        </w:rPr>
      </w:pPr>
      <w:r>
        <w:rPr>
          <w:rFonts w:hint="eastAsia" w:ascii="宋体" w:hAnsi="宋体" w:eastAsia="宋体" w:cs="宋体"/>
          <w:color w:val="auto"/>
          <w:sz w:val="24"/>
        </w:rPr>
        <w:br w:type="page"/>
      </w:r>
      <w:bookmarkStart w:id="595" w:name="_Toc445046896"/>
      <w:r>
        <w:rPr>
          <w:rFonts w:hint="eastAsia" w:ascii="宋体" w:hAnsi="宋体" w:eastAsia="宋体" w:cs="宋体"/>
          <w:color w:val="auto"/>
        </w:rPr>
        <w:t>4.法定代表人身份证明</w:t>
      </w:r>
      <w:bookmarkEnd w:id="595"/>
    </w:p>
    <w:p>
      <w:pPr>
        <w:autoSpaceDE w:val="0"/>
        <w:autoSpaceDN w:val="0"/>
        <w:adjustRightInd w:val="0"/>
        <w:spacing w:line="360" w:lineRule="auto"/>
        <w:ind w:firstLine="480" w:firstLineChars="200"/>
        <w:jc w:val="left"/>
        <w:rPr>
          <w:rFonts w:ascii="宋体" w:hAnsi="宋体" w:cs="宋体"/>
          <w:color w:val="auto"/>
          <w:kern w:val="0"/>
          <w:sz w:val="24"/>
        </w:rPr>
      </w:pPr>
    </w:p>
    <w:p>
      <w:pPr>
        <w:autoSpaceDE w:val="0"/>
        <w:autoSpaceDN w:val="0"/>
        <w:adjustRightInd w:val="0"/>
        <w:spacing w:line="360" w:lineRule="auto"/>
        <w:ind w:firstLine="480" w:firstLineChars="200"/>
        <w:jc w:val="left"/>
        <w:rPr>
          <w:rFonts w:ascii="宋体" w:hAnsi="宋体" w:cs="宋体"/>
          <w:color w:val="auto"/>
          <w:kern w:val="0"/>
          <w:sz w:val="24"/>
        </w:rPr>
      </w:pPr>
    </w:p>
    <w:p>
      <w:pPr>
        <w:autoSpaceDE w:val="0"/>
        <w:autoSpaceDN w:val="0"/>
        <w:adjustRightIn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法定代表人身份证明</w:t>
      </w:r>
    </w:p>
    <w:p>
      <w:pPr>
        <w:autoSpaceDE w:val="0"/>
        <w:autoSpaceDN w:val="0"/>
        <w:adjustRightInd w:val="0"/>
        <w:spacing w:line="360" w:lineRule="auto"/>
        <w:ind w:firstLine="480" w:firstLineChars="200"/>
        <w:jc w:val="left"/>
        <w:rPr>
          <w:rFonts w:ascii="宋体" w:hAnsi="宋体" w:cs="宋体"/>
          <w:color w:val="auto"/>
          <w:kern w:val="0"/>
          <w:sz w:val="24"/>
        </w:rPr>
      </w:pP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投 标 人：</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单位性质：</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地    址：</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成立时间：年月日</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经营期限：</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姓    名：    性        别：</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年    龄：    职        务：</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系（投标人名称）的法定代表人。</w:t>
      </w:r>
    </w:p>
    <w:p>
      <w:pPr>
        <w:autoSpaceDE w:val="0"/>
        <w:autoSpaceDN w:val="0"/>
        <w:adjustRightInd w:val="0"/>
        <w:spacing w:line="360" w:lineRule="auto"/>
        <w:ind w:firstLine="960" w:firstLineChars="400"/>
        <w:jc w:val="left"/>
        <w:rPr>
          <w:rFonts w:ascii="宋体" w:hAnsi="宋体" w:cs="宋体"/>
          <w:color w:val="auto"/>
          <w:kern w:val="0"/>
          <w:sz w:val="24"/>
        </w:rPr>
      </w:pPr>
      <w:r>
        <w:rPr>
          <w:rFonts w:hint="eastAsia" w:ascii="宋体" w:hAnsi="宋体" w:cs="宋体"/>
          <w:color w:val="auto"/>
          <w:kern w:val="0"/>
          <w:sz w:val="24"/>
        </w:rPr>
        <w:t>特此证明。</w:t>
      </w:r>
    </w:p>
    <w:p>
      <w:pPr>
        <w:autoSpaceDE w:val="0"/>
        <w:autoSpaceDN w:val="0"/>
        <w:adjustRightInd w:val="0"/>
        <w:spacing w:line="360" w:lineRule="auto"/>
        <w:ind w:firstLine="480" w:firstLineChars="200"/>
        <w:jc w:val="left"/>
        <w:rPr>
          <w:rFonts w:ascii="宋体" w:hAnsi="宋体" w:cs="宋体"/>
          <w:color w:val="auto"/>
          <w:kern w:val="0"/>
          <w:sz w:val="24"/>
        </w:rPr>
      </w:pP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附：法定代表人身份证复印件。</w:t>
      </w:r>
    </w:p>
    <w:p>
      <w:pPr>
        <w:autoSpaceDE w:val="0"/>
        <w:autoSpaceDN w:val="0"/>
        <w:adjustRightInd w:val="0"/>
        <w:spacing w:line="360" w:lineRule="auto"/>
        <w:ind w:firstLine="480" w:firstLineChars="200"/>
        <w:jc w:val="left"/>
        <w:rPr>
          <w:rFonts w:ascii="宋体" w:hAnsi="宋体" w:cs="宋体"/>
          <w:color w:val="auto"/>
          <w:kern w:val="0"/>
          <w:sz w:val="24"/>
        </w:rPr>
      </w:pPr>
    </w:p>
    <w:p>
      <w:pPr>
        <w:autoSpaceDE w:val="0"/>
        <w:autoSpaceDN w:val="0"/>
        <w:adjustRightInd w:val="0"/>
        <w:spacing w:line="360" w:lineRule="auto"/>
        <w:ind w:firstLine="480" w:firstLineChars="200"/>
        <w:jc w:val="left"/>
        <w:rPr>
          <w:rFonts w:ascii="宋体" w:hAnsi="宋体" w:cs="宋体"/>
          <w:color w:val="auto"/>
          <w:kern w:val="0"/>
          <w:sz w:val="24"/>
        </w:rPr>
      </w:pPr>
    </w:p>
    <w:p>
      <w:pPr>
        <w:autoSpaceDE w:val="0"/>
        <w:autoSpaceDN w:val="0"/>
        <w:adjustRightInd w:val="0"/>
        <w:spacing w:line="360" w:lineRule="auto"/>
        <w:ind w:firstLine="480" w:firstLineChars="200"/>
        <w:jc w:val="left"/>
        <w:rPr>
          <w:rFonts w:ascii="宋体" w:hAnsi="宋体" w:cs="宋体"/>
          <w:color w:val="auto"/>
          <w:kern w:val="0"/>
          <w:sz w:val="24"/>
        </w:rPr>
      </w:pPr>
    </w:p>
    <w:p>
      <w:pPr>
        <w:autoSpaceDE w:val="0"/>
        <w:autoSpaceDN w:val="0"/>
        <w:adjustRightInd w:val="0"/>
        <w:spacing w:line="360" w:lineRule="auto"/>
        <w:ind w:firstLine="480" w:firstLineChars="200"/>
        <w:jc w:val="left"/>
        <w:rPr>
          <w:rFonts w:ascii="宋体" w:hAnsi="宋体" w:cs="宋体"/>
          <w:color w:val="auto"/>
          <w:kern w:val="0"/>
          <w:sz w:val="24"/>
        </w:rPr>
      </w:pPr>
    </w:p>
    <w:p>
      <w:pPr>
        <w:autoSpaceDE w:val="0"/>
        <w:autoSpaceDN w:val="0"/>
        <w:adjustRightInd w:val="0"/>
        <w:spacing w:line="360" w:lineRule="auto"/>
        <w:ind w:firstLine="2280" w:firstLineChars="950"/>
        <w:jc w:val="left"/>
        <w:rPr>
          <w:rFonts w:ascii="宋体" w:hAnsi="宋体" w:cs="宋体"/>
          <w:color w:val="auto"/>
          <w:kern w:val="0"/>
          <w:sz w:val="24"/>
        </w:rPr>
      </w:pPr>
      <w:r>
        <w:rPr>
          <w:rFonts w:hint="eastAsia" w:ascii="宋体" w:hAnsi="宋体" w:cs="宋体"/>
          <w:color w:val="auto"/>
          <w:kern w:val="0"/>
          <w:sz w:val="24"/>
        </w:rPr>
        <w:t>投标人：（盖单位章）</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 xml:space="preserve">年月日  </w:t>
      </w: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2"/>
        <w:ind w:firstLine="0" w:firstLineChars="0"/>
        <w:rPr>
          <w:rFonts w:ascii="宋体" w:hAnsi="宋体" w:cs="宋体"/>
          <w:color w:val="auto"/>
        </w:rPr>
      </w:pPr>
    </w:p>
    <w:p>
      <w:pPr>
        <w:pStyle w:val="2"/>
        <w:ind w:firstLine="210"/>
        <w:rPr>
          <w:rFonts w:ascii="宋体" w:hAnsi="宋体" w:cs="宋体"/>
          <w:color w:val="auto"/>
        </w:rPr>
      </w:pPr>
    </w:p>
    <w:p>
      <w:pPr>
        <w:jc w:val="center"/>
        <w:rPr>
          <w:rFonts w:ascii="宋体" w:hAnsi="宋体" w:cs="宋体"/>
          <w:b/>
          <w:bCs/>
          <w:color w:val="auto"/>
          <w:sz w:val="32"/>
          <w:szCs w:val="32"/>
        </w:rPr>
      </w:pPr>
      <w:r>
        <w:rPr>
          <w:rFonts w:hint="eastAsia" w:ascii="宋体" w:hAnsi="宋体" w:cs="宋体"/>
          <w:b/>
          <w:bCs/>
          <w:color w:val="auto"/>
          <w:sz w:val="32"/>
          <w:szCs w:val="32"/>
        </w:rPr>
        <w:t>5、盐城市大丰区政府招标采购供应商承诺书</w:t>
      </w:r>
    </w:p>
    <w:p>
      <w:pPr>
        <w:spacing w:line="400" w:lineRule="exact"/>
        <w:ind w:firstLine="560" w:firstLineChars="200"/>
        <w:rPr>
          <w:rFonts w:ascii="宋体" w:hAnsi="宋体" w:cs="宋体"/>
          <w:color w:val="auto"/>
          <w:sz w:val="28"/>
          <w:szCs w:val="28"/>
        </w:rPr>
      </w:pPr>
    </w:p>
    <w:p>
      <w:pPr>
        <w:spacing w:line="400" w:lineRule="exact"/>
        <w:ind w:firstLine="480" w:firstLineChars="200"/>
        <w:rPr>
          <w:rFonts w:ascii="宋体" w:hAnsi="宋体" w:cs="宋体"/>
          <w:color w:val="auto"/>
          <w:sz w:val="24"/>
          <w:u w:val="single"/>
        </w:rPr>
      </w:pPr>
      <w:r>
        <w:rPr>
          <w:rFonts w:hint="eastAsia" w:ascii="宋体" w:hAnsi="宋体" w:cs="宋体"/>
          <w:color w:val="auto"/>
          <w:sz w:val="24"/>
        </w:rPr>
        <w:t>为营造公开、公平、公正、诚实守信的政府招标采购交易环境，树立诚信守法的投标人形象，本单位参加政府招标服务项目：</w:t>
      </w:r>
      <w:r>
        <w:rPr>
          <w:rFonts w:hint="eastAsia" w:ascii="宋体" w:hAnsi="宋体" w:cs="宋体"/>
          <w:color w:val="auto"/>
          <w:sz w:val="24"/>
          <w:u w:val="single"/>
        </w:rPr>
        <w:t xml:space="preserve">                                       </w:t>
      </w:r>
    </w:p>
    <w:p>
      <w:pPr>
        <w:spacing w:line="400" w:lineRule="exact"/>
        <w:rPr>
          <w:rFonts w:ascii="宋体" w:hAnsi="宋体" w:cs="宋体"/>
          <w:color w:val="auto"/>
          <w:sz w:val="24"/>
        </w:rPr>
      </w:pPr>
      <w:r>
        <w:rPr>
          <w:rFonts w:hint="eastAsia" w:ascii="宋体" w:hAnsi="宋体" w:cs="宋体"/>
          <w:color w:val="auto"/>
          <w:sz w:val="24"/>
        </w:rPr>
        <w:t>的招标采购活动，本人代表本单位作出以下承诺：</w:t>
      </w:r>
    </w:p>
    <w:p>
      <w:pPr>
        <w:spacing w:line="400" w:lineRule="exact"/>
        <w:ind w:firstLine="480" w:firstLineChars="200"/>
        <w:rPr>
          <w:rFonts w:ascii="宋体" w:hAnsi="宋体" w:cs="宋体"/>
          <w:color w:val="auto"/>
          <w:sz w:val="24"/>
        </w:rPr>
      </w:pPr>
      <w:r>
        <w:rPr>
          <w:rFonts w:hint="eastAsia" w:ascii="宋体" w:hAnsi="宋体" w:cs="宋体"/>
          <w:color w:val="auto"/>
          <w:sz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400" w:lineRule="exact"/>
        <w:ind w:firstLine="480" w:firstLineChars="200"/>
        <w:rPr>
          <w:rFonts w:ascii="宋体" w:hAnsi="宋体" w:cs="宋体"/>
          <w:color w:val="auto"/>
          <w:sz w:val="24"/>
        </w:rPr>
      </w:pPr>
      <w:r>
        <w:rPr>
          <w:rFonts w:hint="eastAsia" w:ascii="宋体" w:hAnsi="宋体" w:cs="宋体"/>
          <w:color w:val="auto"/>
          <w:sz w:val="24"/>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400" w:lineRule="exact"/>
        <w:ind w:firstLine="480" w:firstLineChars="200"/>
        <w:rPr>
          <w:rFonts w:ascii="宋体" w:hAnsi="宋体" w:cs="宋体"/>
          <w:color w:val="auto"/>
          <w:sz w:val="24"/>
        </w:rPr>
      </w:pPr>
      <w:r>
        <w:rPr>
          <w:rFonts w:hint="eastAsia" w:ascii="宋体" w:hAnsi="宋体" w:cs="宋体"/>
          <w:color w:val="auto"/>
          <w:sz w:val="24"/>
        </w:rPr>
        <w:t xml:space="preserve">（三）严格依照国家和省、市关于政府招标采购的法律、法规、规章、规范性文件，参加政府招标采购的投标活动；积极履行社会责任，促进廉政建设； </w:t>
      </w:r>
    </w:p>
    <w:p>
      <w:pPr>
        <w:spacing w:line="400" w:lineRule="exact"/>
        <w:rPr>
          <w:rFonts w:ascii="宋体" w:hAnsi="宋体" w:cs="宋体"/>
          <w:color w:val="auto"/>
          <w:sz w:val="24"/>
        </w:rPr>
      </w:pPr>
      <w:r>
        <w:rPr>
          <w:rFonts w:hint="eastAsia" w:ascii="宋体" w:hAnsi="宋体" w:cs="宋体"/>
          <w:color w:val="auto"/>
          <w:sz w:val="24"/>
        </w:rPr>
        <w:t>   （四）严格遵守即时信息公示规定，及时维护和更新盐城市政府采购网、公共资源交易平台中与本单位相关的信息；</w:t>
      </w:r>
    </w:p>
    <w:p>
      <w:pPr>
        <w:spacing w:line="400" w:lineRule="exact"/>
        <w:ind w:firstLine="367"/>
        <w:rPr>
          <w:rFonts w:ascii="宋体" w:hAnsi="宋体" w:cs="宋体"/>
          <w:color w:val="auto"/>
          <w:sz w:val="24"/>
        </w:rPr>
      </w:pPr>
      <w:r>
        <w:rPr>
          <w:rFonts w:hint="eastAsia" w:ascii="宋体" w:hAnsi="宋体" w:cs="宋体"/>
          <w:color w:val="auto"/>
          <w:sz w:val="24"/>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400" w:lineRule="exact"/>
        <w:ind w:firstLine="367"/>
        <w:rPr>
          <w:rFonts w:ascii="宋体" w:hAnsi="宋体" w:cs="宋体"/>
          <w:color w:val="auto"/>
          <w:sz w:val="24"/>
        </w:rPr>
      </w:pPr>
      <w:r>
        <w:rPr>
          <w:rFonts w:hint="eastAsia" w:ascii="宋体" w:hAnsi="宋体" w:cs="宋体"/>
          <w:color w:val="auto"/>
          <w:sz w:val="24"/>
        </w:rPr>
        <w:t>（六）自觉接受政府、行业组织、社会公众、新闻舆论的监督；</w:t>
      </w:r>
    </w:p>
    <w:p>
      <w:pPr>
        <w:spacing w:line="400" w:lineRule="exact"/>
        <w:ind w:firstLine="367"/>
        <w:rPr>
          <w:rFonts w:ascii="宋体" w:hAnsi="宋体" w:cs="宋体"/>
          <w:color w:val="auto"/>
          <w:sz w:val="24"/>
        </w:rPr>
      </w:pPr>
      <w:r>
        <w:rPr>
          <w:rFonts w:hint="eastAsia" w:ascii="宋体" w:hAnsi="宋体" w:cs="宋体"/>
          <w:color w:val="auto"/>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400" w:lineRule="exact"/>
        <w:ind w:firstLine="367"/>
        <w:rPr>
          <w:rFonts w:ascii="宋体" w:hAnsi="宋体" w:cs="宋体"/>
          <w:color w:val="auto"/>
          <w:sz w:val="24"/>
        </w:rPr>
      </w:pPr>
      <w:r>
        <w:rPr>
          <w:rFonts w:hint="eastAsia" w:ascii="宋体" w:hAnsi="宋体" w:cs="宋体"/>
          <w:color w:val="auto"/>
          <w:sz w:val="24"/>
        </w:rPr>
        <w:t>（八）本人已认真阅读了上述承诺，并向本单位员工作了宣传教育。</w:t>
      </w:r>
    </w:p>
    <w:p>
      <w:pPr>
        <w:spacing w:line="400" w:lineRule="exact"/>
        <w:ind w:firstLine="480" w:firstLineChars="200"/>
        <w:rPr>
          <w:rFonts w:ascii="宋体" w:hAnsi="宋体" w:cs="宋体"/>
          <w:color w:val="auto"/>
          <w:sz w:val="24"/>
        </w:rPr>
      </w:pPr>
    </w:p>
    <w:p>
      <w:pPr>
        <w:spacing w:line="340" w:lineRule="exact"/>
        <w:ind w:firstLine="480" w:firstLineChars="200"/>
        <w:rPr>
          <w:rFonts w:ascii="宋体" w:hAnsi="宋体" w:cs="宋体"/>
          <w:color w:val="auto"/>
          <w:sz w:val="24"/>
        </w:rPr>
      </w:pPr>
    </w:p>
    <w:p>
      <w:pPr>
        <w:spacing w:line="340" w:lineRule="exact"/>
        <w:ind w:firstLine="480" w:firstLineChars="200"/>
        <w:rPr>
          <w:rFonts w:ascii="宋体" w:hAnsi="宋体" w:cs="宋体"/>
          <w:color w:val="auto"/>
          <w:sz w:val="24"/>
        </w:rPr>
      </w:pPr>
      <w:r>
        <w:rPr>
          <w:rFonts w:hint="eastAsia" w:ascii="宋体" w:hAnsi="宋体" w:cs="宋体"/>
          <w:color w:val="auto"/>
          <w:sz w:val="24"/>
        </w:rPr>
        <w:t>法定代表人签名：           单位名称（盖章）：</w:t>
      </w:r>
    </w:p>
    <w:p>
      <w:pPr>
        <w:spacing w:line="340" w:lineRule="exact"/>
        <w:rPr>
          <w:rFonts w:ascii="宋体" w:hAnsi="宋体" w:cs="宋体"/>
          <w:color w:val="auto"/>
          <w:sz w:val="24"/>
        </w:rPr>
      </w:pPr>
    </w:p>
    <w:p>
      <w:pPr>
        <w:spacing w:line="340" w:lineRule="exact"/>
        <w:ind w:firstLine="4320" w:firstLineChars="1800"/>
        <w:rPr>
          <w:rFonts w:ascii="宋体" w:hAnsi="宋体" w:cs="宋体"/>
          <w:color w:val="auto"/>
          <w:sz w:val="24"/>
        </w:rPr>
      </w:pPr>
      <w:r>
        <w:rPr>
          <w:rFonts w:hint="eastAsia" w:ascii="宋体" w:hAnsi="宋体" w:cs="宋体"/>
          <w:color w:val="auto"/>
          <w:sz w:val="24"/>
        </w:rPr>
        <w:t>年    月    日</w:t>
      </w:r>
    </w:p>
    <w:p>
      <w:pPr>
        <w:spacing w:line="340" w:lineRule="exact"/>
        <w:rPr>
          <w:rFonts w:ascii="仿宋" w:hAnsi="仿宋" w:eastAsia="仿宋" w:cs="仿宋"/>
          <w:color w:val="auto"/>
          <w:sz w:val="32"/>
          <w:szCs w:val="32"/>
        </w:rPr>
      </w:pPr>
    </w:p>
    <w:p>
      <w:pPr>
        <w:pStyle w:val="2"/>
        <w:ind w:firstLine="210"/>
        <w:rPr>
          <w:rFonts w:ascii="宋体" w:hAnsi="宋体" w:cs="宋体"/>
          <w:color w:val="auto"/>
        </w:rPr>
      </w:pPr>
    </w:p>
    <w:p>
      <w:pPr>
        <w:pStyle w:val="2"/>
        <w:ind w:firstLine="210"/>
        <w:rPr>
          <w:rFonts w:ascii="宋体" w:hAnsi="宋体" w:cs="宋体"/>
          <w:color w:val="auto"/>
        </w:rPr>
      </w:pPr>
    </w:p>
    <w:p>
      <w:pPr>
        <w:pStyle w:val="2"/>
        <w:ind w:firstLine="210"/>
        <w:rPr>
          <w:rFonts w:ascii="宋体" w:hAnsi="宋体" w:cs="宋体"/>
          <w:color w:val="auto"/>
        </w:rPr>
      </w:pPr>
    </w:p>
    <w:p>
      <w:pPr>
        <w:pStyle w:val="2"/>
        <w:ind w:firstLine="210"/>
        <w:rPr>
          <w:rFonts w:ascii="宋体" w:hAnsi="宋体" w:cs="宋体"/>
          <w:color w:val="auto"/>
        </w:rPr>
      </w:pPr>
    </w:p>
    <w:p>
      <w:pPr>
        <w:pStyle w:val="2"/>
        <w:ind w:firstLine="210"/>
        <w:rPr>
          <w:rFonts w:ascii="宋体" w:hAnsi="宋体" w:cs="宋体"/>
          <w:color w:val="auto"/>
        </w:rPr>
      </w:pPr>
    </w:p>
    <w:p>
      <w:pPr>
        <w:pStyle w:val="2"/>
        <w:ind w:firstLine="210"/>
        <w:rPr>
          <w:rFonts w:ascii="宋体" w:hAnsi="宋体" w:cs="宋体"/>
          <w:color w:val="auto"/>
        </w:rPr>
      </w:pPr>
    </w:p>
    <w:p>
      <w:pPr>
        <w:pStyle w:val="2"/>
        <w:ind w:firstLine="210"/>
        <w:rPr>
          <w:rFonts w:ascii="宋体" w:hAnsi="宋体" w:cs="宋体"/>
          <w:color w:val="auto"/>
        </w:rPr>
      </w:pPr>
    </w:p>
    <w:p>
      <w:pPr>
        <w:pStyle w:val="2"/>
        <w:ind w:firstLine="210"/>
        <w:rPr>
          <w:rFonts w:ascii="宋体" w:hAnsi="宋体" w:cs="宋体"/>
          <w:color w:val="auto"/>
        </w:rPr>
      </w:pPr>
    </w:p>
    <w:p>
      <w:pPr>
        <w:pStyle w:val="2"/>
        <w:ind w:firstLine="210"/>
        <w:rPr>
          <w:rFonts w:ascii="宋体" w:hAnsi="宋体" w:cs="宋体"/>
          <w:color w:val="auto"/>
        </w:rPr>
      </w:pPr>
    </w:p>
    <w:p>
      <w:pPr>
        <w:numPr>
          <w:ilvl w:val="0"/>
          <w:numId w:val="8"/>
        </w:numPr>
        <w:jc w:val="center"/>
        <w:rPr>
          <w:rFonts w:ascii="宋体" w:hAnsi="宋体" w:cs="宋体"/>
          <w:b/>
          <w:bCs/>
          <w:color w:val="auto"/>
          <w:sz w:val="32"/>
          <w:szCs w:val="32"/>
        </w:rPr>
      </w:pPr>
      <w:r>
        <w:rPr>
          <w:rFonts w:hint="eastAsia" w:ascii="宋体" w:hAnsi="宋体" w:cs="宋体"/>
          <w:b/>
          <w:bCs/>
          <w:color w:val="auto"/>
          <w:sz w:val="32"/>
          <w:szCs w:val="32"/>
        </w:rPr>
        <w:t>中小企业声明函（服务）</w:t>
      </w:r>
    </w:p>
    <w:p>
      <w:pPr>
        <w:pStyle w:val="2"/>
        <w:ind w:firstLine="0" w:firstLineChars="0"/>
        <w:rPr>
          <w:color w:val="auto"/>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本公司郑重声明，根据《政府采购促进中小企业发展管理办法》（财库﹝2020﹞46 号）的规定，本公司参加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采购活动，提供的服务全部由符合政策要求的中小企业承接。相关企业（含联合体中的中小企业、签订分包意向协议的中小企业）的具体情况如下：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 </w:t>
      </w:r>
      <w:r>
        <w:rPr>
          <w:rFonts w:hint="eastAsia" w:ascii="宋体" w:hAnsi="宋体" w:cs="宋体"/>
          <w:color w:val="auto"/>
          <w:sz w:val="24"/>
          <w:u w:val="single"/>
        </w:rPr>
        <w:t xml:space="preserve">（标的名称） </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行业 ；承接企业为</w:t>
      </w:r>
      <w:r>
        <w:rPr>
          <w:rFonts w:hint="eastAsia" w:ascii="宋体" w:hAnsi="宋体" w:cs="宋体"/>
          <w:color w:val="auto"/>
          <w:sz w:val="24"/>
          <w:u w:val="single"/>
        </w:rPr>
        <w:t xml:space="preserve"> （企业名称） </w:t>
      </w:r>
      <w:r>
        <w:rPr>
          <w:rFonts w:hint="eastAsia" w:ascii="宋体" w:hAnsi="宋体" w:cs="宋体"/>
          <w:color w:val="auto"/>
          <w:sz w:val="24"/>
        </w:rPr>
        <w:t>，从业人员人，营业收入为万元，资产总额为万元，属于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 </w:t>
      </w:r>
      <w:r>
        <w:rPr>
          <w:rFonts w:hint="eastAsia" w:ascii="宋体" w:hAnsi="宋体" w:cs="宋体"/>
          <w:color w:val="auto"/>
          <w:sz w:val="24"/>
          <w:u w:val="single"/>
        </w:rPr>
        <w:t>（标的名称）</w:t>
      </w:r>
      <w:r>
        <w:rPr>
          <w:rFonts w:hint="eastAsia" w:ascii="宋体" w:hAnsi="宋体" w:cs="宋体"/>
          <w:color w:val="auto"/>
          <w:sz w:val="24"/>
        </w:rPr>
        <w:t xml:space="preserve"> ，属于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行业 ；承接企业为</w:t>
      </w:r>
      <w:r>
        <w:rPr>
          <w:rFonts w:hint="eastAsia" w:ascii="宋体" w:hAnsi="宋体" w:cs="宋体"/>
          <w:color w:val="auto"/>
          <w:sz w:val="24"/>
          <w:u w:val="single"/>
        </w:rPr>
        <w:t xml:space="preserve"> （企业名称） </w:t>
      </w:r>
      <w:r>
        <w:rPr>
          <w:rFonts w:hint="eastAsia" w:ascii="宋体" w:hAnsi="宋体" w:cs="宋体"/>
          <w:color w:val="auto"/>
          <w:sz w:val="24"/>
        </w:rPr>
        <w:t>，从业人员人，营业收入为万元，资产总额为万元，属于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pStyle w:val="2"/>
        <w:ind w:firstLine="210"/>
        <w:rPr>
          <w:color w:val="auto"/>
        </w:rPr>
      </w:pPr>
    </w:p>
    <w:p>
      <w:pPr>
        <w:spacing w:line="360" w:lineRule="auto"/>
        <w:jc w:val="right"/>
        <w:rPr>
          <w:rFonts w:ascii="宋体" w:hAnsi="宋体" w:cs="宋体"/>
          <w:color w:val="auto"/>
          <w:sz w:val="24"/>
        </w:rPr>
      </w:pPr>
      <w:r>
        <w:rPr>
          <w:rFonts w:hint="eastAsia" w:ascii="宋体" w:hAnsi="宋体" w:cs="宋体"/>
          <w:color w:val="auto"/>
          <w:sz w:val="24"/>
        </w:rPr>
        <w:t>企业名称（盖章）：</w:t>
      </w:r>
    </w:p>
    <w:p>
      <w:pPr>
        <w:spacing w:line="360" w:lineRule="auto"/>
        <w:jc w:val="right"/>
        <w:rPr>
          <w:rFonts w:ascii="宋体" w:hAnsi="宋体" w:cs="宋体"/>
          <w:color w:val="auto"/>
          <w:sz w:val="24"/>
        </w:rPr>
      </w:pPr>
    </w:p>
    <w:p>
      <w:pPr>
        <w:spacing w:line="360" w:lineRule="auto"/>
        <w:jc w:val="right"/>
        <w:rPr>
          <w:rFonts w:ascii="宋体" w:hAnsi="宋体" w:cs="宋体"/>
          <w:color w:val="auto"/>
          <w:sz w:val="24"/>
        </w:rPr>
      </w:pPr>
      <w:r>
        <w:rPr>
          <w:rFonts w:hint="eastAsia" w:ascii="宋体" w:hAnsi="宋体" w:cs="宋体"/>
          <w:color w:val="auto"/>
          <w:sz w:val="24"/>
        </w:rPr>
        <w:t>日 期：</w:t>
      </w:r>
    </w:p>
    <w:p>
      <w:pPr>
        <w:pStyle w:val="2"/>
        <w:ind w:firstLine="210"/>
        <w:rPr>
          <w:color w:val="auto"/>
        </w:rPr>
      </w:pPr>
    </w:p>
    <w:p>
      <w:pPr>
        <w:pStyle w:val="123"/>
        <w:spacing w:line="360" w:lineRule="auto"/>
        <w:rPr>
          <w:rFonts w:hAnsi="宋体" w:cs="宋体"/>
          <w:b/>
          <w:color w:val="auto"/>
          <w:sz w:val="24"/>
        </w:rPr>
      </w:pPr>
      <w:r>
        <w:rPr>
          <w:rFonts w:hint="eastAsia" w:hAnsi="宋体" w:cs="宋体"/>
          <w:b/>
          <w:color w:val="auto"/>
          <w:sz w:val="24"/>
        </w:rPr>
        <w:t>从业人员、营业收入、资产总额填报上一年度数据，无上一年度数据的新成立企业可不填报</w:t>
      </w:r>
    </w:p>
    <w:p>
      <w:pPr>
        <w:pStyle w:val="2"/>
        <w:ind w:firstLine="0" w:firstLineChars="0"/>
        <w:rPr>
          <w:rFonts w:ascii="宋体" w:hAnsi="宋体" w:cs="宋体"/>
          <w:color w:val="auto"/>
          <w:szCs w:val="21"/>
        </w:rPr>
      </w:pP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123"/>
        <w:spacing w:line="360" w:lineRule="auto"/>
        <w:rPr>
          <w:rFonts w:hAnsi="宋体" w:cs="宋体"/>
          <w:b/>
          <w:color w:val="auto"/>
          <w:sz w:val="24"/>
        </w:rPr>
      </w:pPr>
    </w:p>
    <w:p>
      <w:pPr>
        <w:pStyle w:val="123"/>
        <w:spacing w:line="360" w:lineRule="auto"/>
        <w:rPr>
          <w:rFonts w:hAnsi="宋体" w:cs="宋体"/>
          <w:color w:val="auto"/>
          <w:sz w:val="24"/>
        </w:rPr>
        <w:sectPr>
          <w:footerReference r:id="rId9" w:type="default"/>
          <w:pgSz w:w="11906" w:h="16838"/>
          <w:pgMar w:top="1247" w:right="1385" w:bottom="1134" w:left="1281" w:header="851" w:footer="992" w:gutter="0"/>
          <w:cols w:space="720" w:num="1"/>
          <w:docGrid w:type="linesAndChars" w:linePitch="312" w:charSpace="0"/>
        </w:sectPr>
      </w:pPr>
    </w:p>
    <w:p>
      <w:pPr>
        <w:spacing w:line="440" w:lineRule="exact"/>
        <w:jc w:val="center"/>
        <w:rPr>
          <w:rFonts w:ascii="宋体" w:hAnsi="宋体" w:cs="宋体"/>
          <w:b/>
          <w:color w:val="auto"/>
          <w:sz w:val="32"/>
          <w:szCs w:val="32"/>
        </w:rPr>
      </w:pPr>
      <w:r>
        <w:rPr>
          <w:rFonts w:hint="eastAsia" w:ascii="宋体" w:hAnsi="宋体" w:cs="宋体"/>
          <w:b/>
          <w:color w:val="auto"/>
          <w:sz w:val="32"/>
          <w:szCs w:val="32"/>
        </w:rPr>
        <w:t>7、开标一览表</w:t>
      </w:r>
    </w:p>
    <w:p>
      <w:pPr>
        <w:snapToGrid w:val="0"/>
        <w:spacing w:before="50" w:after="50" w:line="440" w:lineRule="exact"/>
        <w:ind w:firstLine="420" w:firstLineChars="200"/>
        <w:rPr>
          <w:rFonts w:ascii="宋体" w:hAnsi="宋体" w:cs="宋体"/>
          <w:color w:val="auto"/>
          <w:szCs w:val="21"/>
          <w:u w:val="single"/>
        </w:rPr>
      </w:pPr>
      <w:r>
        <w:rPr>
          <w:rFonts w:hint="eastAsia" w:ascii="宋体" w:hAnsi="宋体" w:cs="宋体"/>
          <w:color w:val="auto"/>
          <w:szCs w:val="21"/>
        </w:rPr>
        <w:t>项目编号：                              项目名称：</w:t>
      </w:r>
    </w:p>
    <w:p>
      <w:pPr>
        <w:snapToGrid w:val="0"/>
        <w:spacing w:before="50" w:after="50" w:line="440" w:lineRule="exact"/>
        <w:ind w:firstLine="420" w:firstLineChars="200"/>
        <w:rPr>
          <w:rFonts w:ascii="宋体" w:hAnsi="宋体" w:cs="宋体"/>
          <w:color w:val="auto"/>
          <w:szCs w:val="21"/>
        </w:rPr>
      </w:pPr>
      <w:r>
        <w:rPr>
          <w:rFonts w:hint="eastAsia" w:ascii="宋体" w:hAnsi="宋体" w:cs="宋体"/>
          <w:color w:val="auto"/>
          <w:szCs w:val="21"/>
        </w:rPr>
        <w:t>投标人名称：                                                          单位：元</w:t>
      </w:r>
    </w:p>
    <w:tbl>
      <w:tblPr>
        <w:tblStyle w:val="45"/>
        <w:tblW w:w="0" w:type="auto"/>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5947"/>
        <w:gridCol w:w="5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s="宋体"/>
                <w:b/>
                <w:color w:val="auto"/>
                <w:szCs w:val="21"/>
              </w:rPr>
            </w:pPr>
            <w:r>
              <w:rPr>
                <w:rFonts w:hint="eastAsia" w:ascii="宋体" w:hAnsi="宋体" w:cs="宋体"/>
                <w:b/>
                <w:color w:val="auto"/>
                <w:szCs w:val="21"/>
              </w:rPr>
              <w:t>序号</w:t>
            </w:r>
          </w:p>
        </w:tc>
        <w:tc>
          <w:tcPr>
            <w:tcW w:w="59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s="宋体"/>
                <w:b/>
                <w:color w:val="auto"/>
                <w:szCs w:val="21"/>
              </w:rPr>
            </w:pPr>
            <w:r>
              <w:rPr>
                <w:rFonts w:hint="eastAsia" w:ascii="宋体" w:hAnsi="宋体" w:cs="宋体"/>
                <w:b/>
                <w:color w:val="auto"/>
                <w:szCs w:val="21"/>
              </w:rPr>
              <w:t>标段名称</w:t>
            </w:r>
          </w:p>
        </w:tc>
        <w:tc>
          <w:tcPr>
            <w:tcW w:w="5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s="宋体"/>
                <w:b/>
                <w:color w:val="auto"/>
                <w:szCs w:val="21"/>
              </w:rPr>
            </w:pPr>
            <w:r>
              <w:rPr>
                <w:rFonts w:hint="eastAsia" w:ascii="宋体" w:hAnsi="宋体" w:cs="宋体"/>
                <w:b/>
                <w:color w:val="auto"/>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exact"/>
        </w:trPr>
        <w:tc>
          <w:tcPr>
            <w:tcW w:w="720" w:type="dxa"/>
            <w:vMerge w:val="restart"/>
            <w:tcBorders>
              <w:top w:val="single" w:color="auto" w:sz="4" w:space="0"/>
              <w:left w:val="single" w:color="auto" w:sz="4" w:space="0"/>
              <w:right w:val="single" w:color="auto" w:sz="4" w:space="0"/>
            </w:tcBorders>
            <w:vAlign w:val="center"/>
          </w:tcPr>
          <w:p>
            <w:pPr>
              <w:snapToGrid w:val="0"/>
              <w:spacing w:before="50" w:after="50" w:line="440" w:lineRule="exact"/>
              <w:jc w:val="center"/>
              <w:rPr>
                <w:rFonts w:ascii="宋体" w:hAnsi="宋体" w:cs="宋体"/>
                <w:color w:val="auto"/>
                <w:szCs w:val="21"/>
              </w:rPr>
            </w:pPr>
            <w:r>
              <w:rPr>
                <w:rFonts w:hint="eastAsia" w:ascii="宋体" w:hAnsi="宋体" w:cs="宋体"/>
                <w:color w:val="auto"/>
                <w:szCs w:val="21"/>
              </w:rPr>
              <w:t>1</w:t>
            </w:r>
          </w:p>
        </w:tc>
        <w:tc>
          <w:tcPr>
            <w:tcW w:w="5947" w:type="dxa"/>
            <w:vMerge w:val="restart"/>
            <w:tcBorders>
              <w:top w:val="single" w:color="auto" w:sz="4" w:space="0"/>
              <w:left w:val="single" w:color="auto" w:sz="4" w:space="0"/>
              <w:right w:val="single" w:color="auto" w:sz="4" w:space="0"/>
            </w:tcBorders>
            <w:vAlign w:val="center"/>
          </w:tcPr>
          <w:p>
            <w:pPr>
              <w:snapToGrid w:val="0"/>
              <w:spacing w:before="50" w:after="50" w:line="440" w:lineRule="exact"/>
              <w:ind w:right="-860" w:rightChars="-410"/>
              <w:rPr>
                <w:rFonts w:ascii="宋体" w:hAnsi="宋体" w:cs="宋体"/>
                <w:color w:val="auto"/>
                <w:kern w:val="0"/>
                <w:szCs w:val="21"/>
              </w:rPr>
            </w:pPr>
            <w:r>
              <w:rPr>
                <w:rFonts w:hint="eastAsia" w:ascii="宋体" w:hAnsi="宋体" w:cs="宋体"/>
                <w:color w:val="auto"/>
                <w:kern w:val="0"/>
                <w:sz w:val="24"/>
              </w:rPr>
              <w:t>自然资源化信息化监管平台（鹰眼系统）服务项目</w:t>
            </w:r>
          </w:p>
        </w:tc>
        <w:tc>
          <w:tcPr>
            <w:tcW w:w="5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ind w:right="-860" w:rightChars="-410"/>
              <w:jc w:val="left"/>
              <w:rPr>
                <w:rFonts w:ascii="宋体" w:hAnsi="宋体" w:cs="宋体"/>
                <w:bCs/>
                <w:color w:val="auto"/>
                <w:szCs w:val="21"/>
              </w:rPr>
            </w:pPr>
            <w:r>
              <w:rPr>
                <w:rFonts w:hint="eastAsia" w:ascii="宋体" w:hAnsi="宋体" w:cs="宋体"/>
                <w:bCs/>
                <w:color w:val="auto"/>
                <w:szCs w:val="21"/>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exact"/>
        </w:trPr>
        <w:tc>
          <w:tcPr>
            <w:tcW w:w="720" w:type="dxa"/>
            <w:vMerge w:val="continue"/>
            <w:tcBorders>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s="宋体"/>
                <w:color w:val="auto"/>
                <w:szCs w:val="21"/>
              </w:rPr>
            </w:pPr>
          </w:p>
        </w:tc>
        <w:tc>
          <w:tcPr>
            <w:tcW w:w="594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p>
        </w:tc>
        <w:tc>
          <w:tcPr>
            <w:tcW w:w="5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ind w:right="-860" w:rightChars="-410"/>
              <w:jc w:val="left"/>
              <w:rPr>
                <w:rFonts w:ascii="宋体" w:hAnsi="宋体" w:cs="宋体"/>
                <w:bCs/>
                <w:color w:val="auto"/>
                <w:szCs w:val="21"/>
              </w:rPr>
            </w:pPr>
            <w:r>
              <w:rPr>
                <w:rFonts w:hint="eastAsia" w:ascii="宋体" w:hAnsi="宋体" w:cs="宋体"/>
                <w:bCs/>
                <w:color w:val="auto"/>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2" w:hRule="exact"/>
        </w:trPr>
        <w:tc>
          <w:tcPr>
            <w:tcW w:w="666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s="宋体"/>
                <w:b/>
                <w:color w:val="auto"/>
                <w:szCs w:val="21"/>
              </w:rPr>
            </w:pPr>
            <w:r>
              <w:rPr>
                <w:rFonts w:hint="eastAsia" w:ascii="宋体" w:hAnsi="宋体" w:cs="宋体"/>
                <w:b/>
                <w:color w:val="auto"/>
                <w:szCs w:val="21"/>
              </w:rPr>
              <w:t>合同履行期限</w:t>
            </w:r>
          </w:p>
        </w:tc>
        <w:tc>
          <w:tcPr>
            <w:tcW w:w="5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s="宋体"/>
                <w:color w:val="auto"/>
                <w:szCs w:val="21"/>
              </w:rPr>
            </w:pPr>
            <w:r>
              <w:rPr>
                <w:rFonts w:hint="eastAsia" w:ascii="宋体" w:hAnsi="宋体" w:cs="宋体"/>
                <w:color w:val="auto"/>
                <w:kern w:val="0"/>
                <w:szCs w:val="21"/>
              </w:rPr>
              <w:t>合同签订后</w:t>
            </w:r>
            <w:r>
              <w:rPr>
                <w:rFonts w:hint="eastAsia" w:ascii="宋体" w:hAnsi="宋体" w:cs="宋体"/>
                <w:color w:val="auto"/>
                <w:kern w:val="0"/>
                <w:szCs w:val="21"/>
                <w:u w:val="single"/>
              </w:rPr>
              <w:t xml:space="preserve">  </w:t>
            </w:r>
            <w:r>
              <w:rPr>
                <w:rFonts w:hint="eastAsia" w:ascii="宋体" w:hAnsi="宋体" w:cs="宋体"/>
                <w:color w:val="auto"/>
                <w:kern w:val="0"/>
                <w:szCs w:val="21"/>
              </w:rPr>
              <w:t>日历天内完成系统平台建设并交付招标人使用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exact"/>
        </w:trPr>
        <w:tc>
          <w:tcPr>
            <w:tcW w:w="666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s="宋体"/>
                <w:b/>
                <w:color w:val="auto"/>
                <w:szCs w:val="21"/>
              </w:rPr>
            </w:pPr>
            <w:r>
              <w:rPr>
                <w:rFonts w:hint="eastAsia" w:ascii="宋体" w:hAnsi="宋体" w:cs="宋体"/>
                <w:b/>
                <w:color w:val="auto"/>
                <w:szCs w:val="21"/>
              </w:rPr>
              <w:t>服务期</w:t>
            </w:r>
          </w:p>
        </w:tc>
        <w:tc>
          <w:tcPr>
            <w:tcW w:w="58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宋体" w:hAnsi="宋体" w:cs="宋体"/>
                <w:color w:val="auto"/>
                <w:szCs w:val="21"/>
              </w:rPr>
            </w:pPr>
            <w:r>
              <w:rPr>
                <w:rFonts w:hint="eastAsia" w:ascii="宋体" w:hAnsi="宋体" w:cs="宋体"/>
                <w:color w:val="auto"/>
                <w:szCs w:val="21"/>
              </w:rPr>
              <w:t>1年</w:t>
            </w:r>
          </w:p>
        </w:tc>
      </w:tr>
    </w:tbl>
    <w:p>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注: 1、报价一经涂改，应在涂改处加盖单位公章或者由法定代表人或授权委托人签字或盖章，否则其投标作无效标处理。</w:t>
      </w:r>
    </w:p>
    <w:p>
      <w:pPr>
        <w:snapToGrid w:val="0"/>
        <w:spacing w:line="440" w:lineRule="exact"/>
        <w:ind w:left="478" w:leftChars="228" w:firstLine="315" w:firstLineChars="150"/>
        <w:jc w:val="left"/>
        <w:rPr>
          <w:rFonts w:ascii="宋体" w:hAnsi="宋体" w:cs="宋体"/>
          <w:color w:val="auto"/>
          <w:szCs w:val="21"/>
        </w:rPr>
      </w:pPr>
      <w:r>
        <w:rPr>
          <w:rFonts w:hint="eastAsia" w:ascii="宋体" w:hAnsi="宋体" w:cs="宋体"/>
          <w:color w:val="auto"/>
          <w:szCs w:val="21"/>
        </w:rPr>
        <w:t>2、投标费用包括本项目招标文件规定的一切费用。</w:t>
      </w:r>
    </w:p>
    <w:p>
      <w:pPr>
        <w:snapToGrid w:val="0"/>
        <w:spacing w:line="440" w:lineRule="exact"/>
        <w:ind w:left="478" w:leftChars="228" w:firstLine="315" w:firstLineChars="150"/>
        <w:jc w:val="left"/>
        <w:rPr>
          <w:rFonts w:ascii="宋体" w:hAnsi="宋体" w:cs="宋体"/>
          <w:color w:val="auto"/>
          <w:szCs w:val="21"/>
        </w:rPr>
      </w:pPr>
      <w:r>
        <w:rPr>
          <w:rFonts w:hint="eastAsia" w:ascii="宋体" w:hAnsi="宋体" w:cs="宋体"/>
          <w:color w:val="auto"/>
          <w:szCs w:val="21"/>
        </w:rPr>
        <w:t>3、以上报价应与投标报价明细表中的价格相一致。</w:t>
      </w:r>
    </w:p>
    <w:p>
      <w:pPr>
        <w:snapToGrid w:val="0"/>
        <w:spacing w:line="440" w:lineRule="exact"/>
        <w:ind w:left="478" w:leftChars="228" w:firstLine="315" w:firstLineChars="150"/>
        <w:jc w:val="left"/>
        <w:rPr>
          <w:rFonts w:ascii="宋体" w:hAnsi="宋体" w:cs="宋体"/>
          <w:color w:val="auto"/>
          <w:szCs w:val="21"/>
        </w:rPr>
      </w:pPr>
      <w:r>
        <w:rPr>
          <w:rFonts w:hint="eastAsia" w:ascii="宋体" w:hAnsi="宋体" w:cs="宋体"/>
          <w:color w:val="auto"/>
          <w:szCs w:val="21"/>
        </w:rPr>
        <w:t>4、</w:t>
      </w:r>
      <w:r>
        <w:rPr>
          <w:rFonts w:hint="eastAsia" w:ascii="宋体" w:hAnsi="宋体" w:cs="宋体"/>
          <w:b/>
          <w:color w:val="auto"/>
          <w:szCs w:val="21"/>
          <w:u w:val="single"/>
        </w:rPr>
        <w:t>此表请单独信封放入投标文件袋，信封封面请注明招标人名称、项目名称和投标人名称及“开标一览表”字样；单独递交。</w:t>
      </w:r>
    </w:p>
    <w:p>
      <w:pPr>
        <w:snapToGrid w:val="0"/>
        <w:spacing w:line="440" w:lineRule="exact"/>
        <w:ind w:left="-2" w:leftChars="-1" w:right="-816" w:rightChars="-389" w:firstLine="420" w:firstLineChars="200"/>
        <w:rPr>
          <w:rFonts w:ascii="宋体" w:hAnsi="宋体" w:cs="宋体"/>
          <w:color w:val="auto"/>
          <w:szCs w:val="21"/>
        </w:rPr>
      </w:pPr>
      <w:r>
        <w:rPr>
          <w:rFonts w:hint="eastAsia" w:ascii="宋体" w:hAnsi="宋体" w:cs="宋体"/>
          <w:color w:val="auto"/>
          <w:szCs w:val="21"/>
        </w:rPr>
        <w:t xml:space="preserve">投标人名称（盖章）： </w:t>
      </w:r>
    </w:p>
    <w:p>
      <w:pPr>
        <w:snapToGrid w:val="0"/>
        <w:spacing w:line="440" w:lineRule="exact"/>
        <w:ind w:left="-2" w:leftChars="-1" w:right="-816" w:rightChars="-389" w:firstLine="420" w:firstLineChars="200"/>
        <w:rPr>
          <w:rFonts w:ascii="宋体" w:hAnsi="宋体" w:cs="宋体"/>
          <w:color w:val="auto"/>
          <w:szCs w:val="21"/>
        </w:rPr>
      </w:pPr>
      <w:r>
        <w:rPr>
          <w:rFonts w:hint="eastAsia" w:ascii="宋体" w:hAnsi="宋体" w:cs="宋体"/>
          <w:color w:val="auto"/>
          <w:szCs w:val="21"/>
        </w:rPr>
        <w:t xml:space="preserve">法定代表人（签字或盖章）： </w:t>
      </w:r>
    </w:p>
    <w:p>
      <w:pPr>
        <w:snapToGrid w:val="0"/>
        <w:spacing w:line="440" w:lineRule="exact"/>
        <w:ind w:left="-2" w:leftChars="-1" w:right="-816" w:rightChars="-389" w:firstLine="420" w:firstLineChars="200"/>
        <w:rPr>
          <w:rFonts w:ascii="宋体" w:hAnsi="宋体" w:cs="宋体"/>
          <w:color w:val="auto"/>
          <w:szCs w:val="21"/>
        </w:rPr>
      </w:pPr>
      <w:r>
        <w:rPr>
          <w:rFonts w:hint="eastAsia" w:ascii="宋体" w:hAnsi="宋体" w:cs="宋体"/>
          <w:color w:val="auto"/>
          <w:szCs w:val="21"/>
        </w:rPr>
        <w:t>授权委托代理人（签字或盖章）：  （如有授权）</w:t>
      </w:r>
    </w:p>
    <w:p>
      <w:pPr>
        <w:snapToGrid w:val="0"/>
        <w:spacing w:line="440" w:lineRule="exact"/>
        <w:ind w:left="-2" w:leftChars="-1" w:right="-816" w:rightChars="-389" w:firstLine="420" w:firstLineChars="200"/>
        <w:rPr>
          <w:rFonts w:ascii="宋体" w:hAnsi="宋体" w:cs="宋体"/>
          <w:color w:val="auto"/>
          <w:szCs w:val="21"/>
          <w:u w:val="single"/>
        </w:rPr>
      </w:pPr>
      <w:r>
        <w:rPr>
          <w:rFonts w:hint="eastAsia" w:ascii="宋体" w:hAnsi="宋体" w:cs="宋体"/>
          <w:color w:val="auto"/>
          <w:szCs w:val="21"/>
        </w:rPr>
        <w:t>联系方式：                                                                                              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before="50" w:after="50" w:line="440" w:lineRule="exact"/>
        <w:ind w:left="56" w:leftChars="27" w:right="-816" w:rightChars="-389" w:firstLine="287" w:firstLineChars="137"/>
        <w:rPr>
          <w:color w:val="auto"/>
        </w:rPr>
      </w:pPr>
      <w:r>
        <w:rPr>
          <w:rFonts w:hint="eastAsia" w:ascii="宋体" w:hAnsi="宋体" w:cs="宋体"/>
          <w:b/>
          <w:color w:val="auto"/>
          <w:szCs w:val="21"/>
        </w:rPr>
        <w:t>需附：法定代表人身份证明书或授权委托代理人身份证复印件及授权委托书原件，否则，按无效文件处理。</w:t>
      </w:r>
    </w:p>
    <w:sectPr>
      <w:footerReference r:id="rId10" w:type="default"/>
      <w:pgSz w:w="16838" w:h="11905" w:orient="landscape"/>
      <w:pgMar w:top="1417" w:right="1134" w:bottom="1247" w:left="113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5</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CC2DB"/>
    <w:multiLevelType w:val="singleLevel"/>
    <w:tmpl w:val="98CCC2DB"/>
    <w:lvl w:ilvl="0" w:tentative="0">
      <w:start w:val="5"/>
      <w:numFmt w:val="chineseCounting"/>
      <w:suff w:val="space"/>
      <w:lvlText w:val="第%1章"/>
      <w:lvlJc w:val="left"/>
      <w:rPr>
        <w:rFonts w:hint="eastAsia"/>
      </w:rPr>
    </w:lvl>
  </w:abstractNum>
  <w:abstractNum w:abstractNumId="1">
    <w:nsid w:val="E21106F2"/>
    <w:multiLevelType w:val="singleLevel"/>
    <w:tmpl w:val="E21106F2"/>
    <w:lvl w:ilvl="0" w:tentative="0">
      <w:start w:val="3"/>
      <w:numFmt w:val="chineseCounting"/>
      <w:suff w:val="space"/>
      <w:lvlText w:val="第%1章"/>
      <w:lvlJc w:val="left"/>
      <w:rPr>
        <w:rFonts w:hint="eastAsia"/>
      </w:rPr>
    </w:lvl>
  </w:abstractNum>
  <w:abstractNum w:abstractNumId="2">
    <w:nsid w:val="E7ACEA22"/>
    <w:multiLevelType w:val="singleLevel"/>
    <w:tmpl w:val="E7ACEA22"/>
    <w:lvl w:ilvl="0" w:tentative="0">
      <w:start w:val="6"/>
      <w:numFmt w:val="decimal"/>
      <w:suff w:val="nothing"/>
      <w:lvlText w:val="%1、"/>
      <w:lvlJc w:val="left"/>
    </w:lvl>
  </w:abstractNum>
  <w:abstractNum w:abstractNumId="3">
    <w:nsid w:val="00000002"/>
    <w:multiLevelType w:val="singleLevel"/>
    <w:tmpl w:val="00000002"/>
    <w:lvl w:ilvl="0" w:tentative="0">
      <w:start w:val="5"/>
      <w:numFmt w:val="decimal"/>
      <w:lvlText w:val="%1."/>
      <w:lvlJc w:val="left"/>
      <w:pPr>
        <w:tabs>
          <w:tab w:val="left" w:pos="312"/>
        </w:tabs>
      </w:pPr>
    </w:lvl>
  </w:abstractNum>
  <w:abstractNum w:abstractNumId="4">
    <w:nsid w:val="1CE4459B"/>
    <w:multiLevelType w:val="singleLevel"/>
    <w:tmpl w:val="1CE4459B"/>
    <w:lvl w:ilvl="0" w:tentative="0">
      <w:start w:val="6"/>
      <w:numFmt w:val="chineseCounting"/>
      <w:suff w:val="nothing"/>
      <w:lvlText w:val="%1、"/>
      <w:lvlJc w:val="left"/>
      <w:rPr>
        <w:rFonts w:hint="eastAsia"/>
      </w:rPr>
    </w:lvl>
  </w:abstractNum>
  <w:abstractNum w:abstractNumId="5">
    <w:nsid w:val="20494867"/>
    <w:multiLevelType w:val="singleLevel"/>
    <w:tmpl w:val="20494867"/>
    <w:lvl w:ilvl="0" w:tentative="0">
      <w:start w:val="1"/>
      <w:numFmt w:val="decimal"/>
      <w:suff w:val="nothing"/>
      <w:lvlText w:val="%1、"/>
      <w:lvlJc w:val="left"/>
    </w:lvl>
  </w:abstractNum>
  <w:abstractNum w:abstractNumId="6">
    <w:nsid w:val="56E67968"/>
    <w:multiLevelType w:val="singleLevel"/>
    <w:tmpl w:val="56E67968"/>
    <w:lvl w:ilvl="0" w:tentative="0">
      <w:start w:val="1"/>
      <w:numFmt w:val="chineseCounting"/>
      <w:suff w:val="nothing"/>
      <w:lvlText w:val="%1、"/>
      <w:lvlJc w:val="left"/>
    </w:lvl>
  </w:abstractNum>
  <w:abstractNum w:abstractNumId="7">
    <w:nsid w:val="75E11286"/>
    <w:multiLevelType w:val="multilevel"/>
    <w:tmpl w:val="75E11286"/>
    <w:lvl w:ilvl="0" w:tentative="0">
      <w:start w:val="1"/>
      <w:numFmt w:val="decimal"/>
      <w:pStyle w:val="241"/>
      <w:lvlText w:val="%1)"/>
      <w:lvlJc w:val="left"/>
      <w:pPr>
        <w:ind w:left="902" w:hanging="420"/>
      </w:pPr>
    </w:lvl>
    <w:lvl w:ilvl="1" w:tentative="0">
      <w:start w:val="1"/>
      <w:numFmt w:val="lowerLetter"/>
      <w:lvlText w:val="%1)"/>
      <w:lvlJc w:val="left"/>
      <w:pPr>
        <w:ind w:left="1322" w:hanging="420"/>
      </w:pPr>
    </w:lvl>
    <w:lvl w:ilvl="2" w:tentative="0">
      <w:start w:val="1"/>
      <w:numFmt w:val="lowerRoman"/>
      <w:lvlText w:val="%1."/>
      <w:lvlJc w:val="right"/>
      <w:pPr>
        <w:ind w:left="1742" w:hanging="420"/>
      </w:pPr>
    </w:lvl>
    <w:lvl w:ilvl="3" w:tentative="0">
      <w:start w:val="1"/>
      <w:numFmt w:val="decimal"/>
      <w:lvlText w:val="%1."/>
      <w:lvlJc w:val="left"/>
      <w:pPr>
        <w:ind w:left="2162" w:hanging="420"/>
      </w:pPr>
    </w:lvl>
    <w:lvl w:ilvl="4" w:tentative="0">
      <w:start w:val="1"/>
      <w:numFmt w:val="lowerLetter"/>
      <w:lvlText w:val="%1)"/>
      <w:lvlJc w:val="left"/>
      <w:pPr>
        <w:ind w:left="2582" w:hanging="420"/>
      </w:pPr>
    </w:lvl>
    <w:lvl w:ilvl="5" w:tentative="0">
      <w:start w:val="1"/>
      <w:numFmt w:val="lowerRoman"/>
      <w:lvlText w:val="%1."/>
      <w:lvlJc w:val="right"/>
      <w:pPr>
        <w:ind w:left="3002" w:hanging="420"/>
      </w:pPr>
    </w:lvl>
    <w:lvl w:ilvl="6" w:tentative="0">
      <w:start w:val="1"/>
      <w:numFmt w:val="decimal"/>
      <w:lvlText w:val="%1."/>
      <w:lvlJc w:val="left"/>
      <w:pPr>
        <w:ind w:left="3422" w:hanging="420"/>
      </w:pPr>
    </w:lvl>
    <w:lvl w:ilvl="7" w:tentative="0">
      <w:start w:val="1"/>
      <w:numFmt w:val="lowerLetter"/>
      <w:lvlText w:val="%1)"/>
      <w:lvlJc w:val="left"/>
      <w:pPr>
        <w:ind w:left="3842" w:hanging="420"/>
      </w:pPr>
    </w:lvl>
    <w:lvl w:ilvl="8" w:tentative="0">
      <w:start w:val="1"/>
      <w:numFmt w:val="lowerRoman"/>
      <w:lvlText w:val="%1."/>
      <w:lvlJc w:val="right"/>
      <w:pPr>
        <w:ind w:left="4262" w:hanging="420"/>
      </w:pPr>
    </w:lvl>
  </w:abstractNum>
  <w:num w:numId="1">
    <w:abstractNumId w:val="7"/>
  </w:num>
  <w:num w:numId="2">
    <w:abstractNumId w:val="4"/>
  </w:num>
  <w:num w:numId="3">
    <w:abstractNumId w:val="5"/>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975"/>
    <w:rsid w:val="00003B5D"/>
    <w:rsid w:val="00004FD2"/>
    <w:rsid w:val="000068E5"/>
    <w:rsid w:val="00010148"/>
    <w:rsid w:val="0001516D"/>
    <w:rsid w:val="00017246"/>
    <w:rsid w:val="00017CFF"/>
    <w:rsid w:val="000218AB"/>
    <w:rsid w:val="000228CD"/>
    <w:rsid w:val="00022DF9"/>
    <w:rsid w:val="00026B2B"/>
    <w:rsid w:val="00026D0C"/>
    <w:rsid w:val="00035661"/>
    <w:rsid w:val="00035F52"/>
    <w:rsid w:val="00036EB8"/>
    <w:rsid w:val="000458B7"/>
    <w:rsid w:val="000503D1"/>
    <w:rsid w:val="00051955"/>
    <w:rsid w:val="00052A93"/>
    <w:rsid w:val="0005448E"/>
    <w:rsid w:val="00054588"/>
    <w:rsid w:val="00054685"/>
    <w:rsid w:val="00057B7A"/>
    <w:rsid w:val="00063938"/>
    <w:rsid w:val="00065FDE"/>
    <w:rsid w:val="000720FB"/>
    <w:rsid w:val="0007232A"/>
    <w:rsid w:val="00074DED"/>
    <w:rsid w:val="000815E4"/>
    <w:rsid w:val="00081B9D"/>
    <w:rsid w:val="0008426D"/>
    <w:rsid w:val="00084762"/>
    <w:rsid w:val="000850E9"/>
    <w:rsid w:val="00086775"/>
    <w:rsid w:val="00086D76"/>
    <w:rsid w:val="00086F4E"/>
    <w:rsid w:val="00087836"/>
    <w:rsid w:val="00091771"/>
    <w:rsid w:val="00092A74"/>
    <w:rsid w:val="000953BD"/>
    <w:rsid w:val="000963C7"/>
    <w:rsid w:val="00097686"/>
    <w:rsid w:val="000A2035"/>
    <w:rsid w:val="000A6AD1"/>
    <w:rsid w:val="000B1CD1"/>
    <w:rsid w:val="000B3054"/>
    <w:rsid w:val="000B4828"/>
    <w:rsid w:val="000C0564"/>
    <w:rsid w:val="000C06DC"/>
    <w:rsid w:val="000C0E9B"/>
    <w:rsid w:val="000C6033"/>
    <w:rsid w:val="000C6396"/>
    <w:rsid w:val="000D1538"/>
    <w:rsid w:val="000D6563"/>
    <w:rsid w:val="000D66D7"/>
    <w:rsid w:val="000D6FD2"/>
    <w:rsid w:val="000E3654"/>
    <w:rsid w:val="000E4830"/>
    <w:rsid w:val="000E6182"/>
    <w:rsid w:val="000E6B15"/>
    <w:rsid w:val="000E7DD8"/>
    <w:rsid w:val="000F3A20"/>
    <w:rsid w:val="000F54D6"/>
    <w:rsid w:val="000F5553"/>
    <w:rsid w:val="000F5FE7"/>
    <w:rsid w:val="000F60D3"/>
    <w:rsid w:val="00102016"/>
    <w:rsid w:val="00102246"/>
    <w:rsid w:val="001050E8"/>
    <w:rsid w:val="001050EB"/>
    <w:rsid w:val="001066F6"/>
    <w:rsid w:val="001077A9"/>
    <w:rsid w:val="00107A5D"/>
    <w:rsid w:val="00111371"/>
    <w:rsid w:val="0011182A"/>
    <w:rsid w:val="00114741"/>
    <w:rsid w:val="001167C7"/>
    <w:rsid w:val="00116C40"/>
    <w:rsid w:val="0012726A"/>
    <w:rsid w:val="00127C83"/>
    <w:rsid w:val="00131782"/>
    <w:rsid w:val="0013207C"/>
    <w:rsid w:val="001363C3"/>
    <w:rsid w:val="0013786B"/>
    <w:rsid w:val="00141583"/>
    <w:rsid w:val="001419C5"/>
    <w:rsid w:val="00143C2C"/>
    <w:rsid w:val="001471A9"/>
    <w:rsid w:val="00147B6C"/>
    <w:rsid w:val="00147C37"/>
    <w:rsid w:val="0015142B"/>
    <w:rsid w:val="00153CBA"/>
    <w:rsid w:val="00160EB2"/>
    <w:rsid w:val="0016548D"/>
    <w:rsid w:val="001655DF"/>
    <w:rsid w:val="001661AD"/>
    <w:rsid w:val="00167D24"/>
    <w:rsid w:val="0017024E"/>
    <w:rsid w:val="0017144B"/>
    <w:rsid w:val="001718FF"/>
    <w:rsid w:val="00172A27"/>
    <w:rsid w:val="00175994"/>
    <w:rsid w:val="00177A2E"/>
    <w:rsid w:val="001810A8"/>
    <w:rsid w:val="00184892"/>
    <w:rsid w:val="001855A0"/>
    <w:rsid w:val="00185CF1"/>
    <w:rsid w:val="00191BFD"/>
    <w:rsid w:val="00193ADB"/>
    <w:rsid w:val="00196F03"/>
    <w:rsid w:val="001A052D"/>
    <w:rsid w:val="001A2A7E"/>
    <w:rsid w:val="001A363E"/>
    <w:rsid w:val="001A6236"/>
    <w:rsid w:val="001A6C84"/>
    <w:rsid w:val="001A7BB6"/>
    <w:rsid w:val="001B0A73"/>
    <w:rsid w:val="001B3A66"/>
    <w:rsid w:val="001B4BA3"/>
    <w:rsid w:val="001B632F"/>
    <w:rsid w:val="001C4306"/>
    <w:rsid w:val="001C7684"/>
    <w:rsid w:val="001D2121"/>
    <w:rsid w:val="001D21A4"/>
    <w:rsid w:val="001D6F90"/>
    <w:rsid w:val="001E1AD0"/>
    <w:rsid w:val="001E2497"/>
    <w:rsid w:val="001E25FF"/>
    <w:rsid w:val="001E5D34"/>
    <w:rsid w:val="001E6116"/>
    <w:rsid w:val="001E61EE"/>
    <w:rsid w:val="001E6E3B"/>
    <w:rsid w:val="001E73D5"/>
    <w:rsid w:val="001F0421"/>
    <w:rsid w:val="001F0AEB"/>
    <w:rsid w:val="00201933"/>
    <w:rsid w:val="00201FCB"/>
    <w:rsid w:val="00206234"/>
    <w:rsid w:val="0021061E"/>
    <w:rsid w:val="00211677"/>
    <w:rsid w:val="00211E26"/>
    <w:rsid w:val="002154A3"/>
    <w:rsid w:val="0021714C"/>
    <w:rsid w:val="00221BC6"/>
    <w:rsid w:val="0022281C"/>
    <w:rsid w:val="00226D4B"/>
    <w:rsid w:val="00226D73"/>
    <w:rsid w:val="002271EA"/>
    <w:rsid w:val="00227E70"/>
    <w:rsid w:val="0023025D"/>
    <w:rsid w:val="002334AA"/>
    <w:rsid w:val="002341EC"/>
    <w:rsid w:val="002365B6"/>
    <w:rsid w:val="002374D6"/>
    <w:rsid w:val="0024207F"/>
    <w:rsid w:val="002434F0"/>
    <w:rsid w:val="00243856"/>
    <w:rsid w:val="002452F1"/>
    <w:rsid w:val="0024632E"/>
    <w:rsid w:val="002467C8"/>
    <w:rsid w:val="00247CBE"/>
    <w:rsid w:val="00250D02"/>
    <w:rsid w:val="00251E62"/>
    <w:rsid w:val="002520FB"/>
    <w:rsid w:val="00253308"/>
    <w:rsid w:val="00257E3E"/>
    <w:rsid w:val="0026007E"/>
    <w:rsid w:val="00260AD5"/>
    <w:rsid w:val="002625A6"/>
    <w:rsid w:val="00262F03"/>
    <w:rsid w:val="00266BC4"/>
    <w:rsid w:val="0026712C"/>
    <w:rsid w:val="00270E4B"/>
    <w:rsid w:val="00271C4C"/>
    <w:rsid w:val="002723F2"/>
    <w:rsid w:val="00272B9A"/>
    <w:rsid w:val="00274AD1"/>
    <w:rsid w:val="00276D49"/>
    <w:rsid w:val="0028138F"/>
    <w:rsid w:val="0028174B"/>
    <w:rsid w:val="002819B0"/>
    <w:rsid w:val="00283A00"/>
    <w:rsid w:val="00283D48"/>
    <w:rsid w:val="00293DC3"/>
    <w:rsid w:val="00295B8F"/>
    <w:rsid w:val="00296BD6"/>
    <w:rsid w:val="002A5ABE"/>
    <w:rsid w:val="002A5EF0"/>
    <w:rsid w:val="002A76AC"/>
    <w:rsid w:val="002B1C86"/>
    <w:rsid w:val="002B35A0"/>
    <w:rsid w:val="002B37D1"/>
    <w:rsid w:val="002B6E8C"/>
    <w:rsid w:val="002C1D99"/>
    <w:rsid w:val="002D2821"/>
    <w:rsid w:val="002D3356"/>
    <w:rsid w:val="002D7702"/>
    <w:rsid w:val="002E0263"/>
    <w:rsid w:val="002E0C66"/>
    <w:rsid w:val="002E3C57"/>
    <w:rsid w:val="002E3D5C"/>
    <w:rsid w:val="002E7C3F"/>
    <w:rsid w:val="002F0886"/>
    <w:rsid w:val="002F1BE8"/>
    <w:rsid w:val="002F4FEA"/>
    <w:rsid w:val="002F61A5"/>
    <w:rsid w:val="002F7CF9"/>
    <w:rsid w:val="003069FB"/>
    <w:rsid w:val="00306B4E"/>
    <w:rsid w:val="00307277"/>
    <w:rsid w:val="00307C80"/>
    <w:rsid w:val="003131D6"/>
    <w:rsid w:val="00313410"/>
    <w:rsid w:val="00314355"/>
    <w:rsid w:val="003167A5"/>
    <w:rsid w:val="00322D22"/>
    <w:rsid w:val="0032372E"/>
    <w:rsid w:val="00325AF5"/>
    <w:rsid w:val="00325F0E"/>
    <w:rsid w:val="0033160F"/>
    <w:rsid w:val="0033161F"/>
    <w:rsid w:val="0033231C"/>
    <w:rsid w:val="00335205"/>
    <w:rsid w:val="00335B47"/>
    <w:rsid w:val="00336437"/>
    <w:rsid w:val="003405F5"/>
    <w:rsid w:val="00340E07"/>
    <w:rsid w:val="00341E1F"/>
    <w:rsid w:val="003437CA"/>
    <w:rsid w:val="00343BD7"/>
    <w:rsid w:val="0034459D"/>
    <w:rsid w:val="003446B3"/>
    <w:rsid w:val="00345297"/>
    <w:rsid w:val="0035048B"/>
    <w:rsid w:val="00352C38"/>
    <w:rsid w:val="00355514"/>
    <w:rsid w:val="00355C5D"/>
    <w:rsid w:val="003563C7"/>
    <w:rsid w:val="00362482"/>
    <w:rsid w:val="003624C3"/>
    <w:rsid w:val="00362528"/>
    <w:rsid w:val="0036418C"/>
    <w:rsid w:val="00364D9B"/>
    <w:rsid w:val="003650B7"/>
    <w:rsid w:val="00365B86"/>
    <w:rsid w:val="0037043A"/>
    <w:rsid w:val="0037325F"/>
    <w:rsid w:val="00373BB8"/>
    <w:rsid w:val="00375D46"/>
    <w:rsid w:val="00380EA0"/>
    <w:rsid w:val="00381C4E"/>
    <w:rsid w:val="00381CB6"/>
    <w:rsid w:val="0038208E"/>
    <w:rsid w:val="00382FBD"/>
    <w:rsid w:val="00385BB8"/>
    <w:rsid w:val="00385D91"/>
    <w:rsid w:val="00386BE8"/>
    <w:rsid w:val="003A25B9"/>
    <w:rsid w:val="003A2CC4"/>
    <w:rsid w:val="003A4579"/>
    <w:rsid w:val="003A4FA3"/>
    <w:rsid w:val="003B2572"/>
    <w:rsid w:val="003B4149"/>
    <w:rsid w:val="003B4A71"/>
    <w:rsid w:val="003B57E8"/>
    <w:rsid w:val="003B6A91"/>
    <w:rsid w:val="003B72B8"/>
    <w:rsid w:val="003B7566"/>
    <w:rsid w:val="003C103F"/>
    <w:rsid w:val="003C27C4"/>
    <w:rsid w:val="003C3091"/>
    <w:rsid w:val="003C783C"/>
    <w:rsid w:val="003D240C"/>
    <w:rsid w:val="003D2825"/>
    <w:rsid w:val="003E1801"/>
    <w:rsid w:val="003E27A4"/>
    <w:rsid w:val="003E2E72"/>
    <w:rsid w:val="003E2F6E"/>
    <w:rsid w:val="003E4208"/>
    <w:rsid w:val="003E43EB"/>
    <w:rsid w:val="003E46CA"/>
    <w:rsid w:val="003E509D"/>
    <w:rsid w:val="003E5A9D"/>
    <w:rsid w:val="003E7C20"/>
    <w:rsid w:val="003F073B"/>
    <w:rsid w:val="003F15DD"/>
    <w:rsid w:val="003F536E"/>
    <w:rsid w:val="003F5F12"/>
    <w:rsid w:val="004001ED"/>
    <w:rsid w:val="0040403C"/>
    <w:rsid w:val="00405C69"/>
    <w:rsid w:val="004079DE"/>
    <w:rsid w:val="00410510"/>
    <w:rsid w:val="00411AAE"/>
    <w:rsid w:val="004129BA"/>
    <w:rsid w:val="00412F37"/>
    <w:rsid w:val="00413309"/>
    <w:rsid w:val="004204A9"/>
    <w:rsid w:val="004234B8"/>
    <w:rsid w:val="00423A58"/>
    <w:rsid w:val="004249A8"/>
    <w:rsid w:val="00431468"/>
    <w:rsid w:val="0043148B"/>
    <w:rsid w:val="00433456"/>
    <w:rsid w:val="00436E54"/>
    <w:rsid w:val="00443551"/>
    <w:rsid w:val="00445180"/>
    <w:rsid w:val="00445B3B"/>
    <w:rsid w:val="00447359"/>
    <w:rsid w:val="004507CA"/>
    <w:rsid w:val="00451462"/>
    <w:rsid w:val="00452FA5"/>
    <w:rsid w:val="00456C6D"/>
    <w:rsid w:val="00460E96"/>
    <w:rsid w:val="0046367B"/>
    <w:rsid w:val="00464867"/>
    <w:rsid w:val="00467968"/>
    <w:rsid w:val="00467EE4"/>
    <w:rsid w:val="00470992"/>
    <w:rsid w:val="00470CF1"/>
    <w:rsid w:val="00474345"/>
    <w:rsid w:val="0047525F"/>
    <w:rsid w:val="0047755C"/>
    <w:rsid w:val="00477D81"/>
    <w:rsid w:val="0048019B"/>
    <w:rsid w:val="004801C4"/>
    <w:rsid w:val="004804D0"/>
    <w:rsid w:val="00481623"/>
    <w:rsid w:val="00481A65"/>
    <w:rsid w:val="00485E33"/>
    <w:rsid w:val="0049076F"/>
    <w:rsid w:val="00493956"/>
    <w:rsid w:val="004944E3"/>
    <w:rsid w:val="00494661"/>
    <w:rsid w:val="00494D4F"/>
    <w:rsid w:val="00495042"/>
    <w:rsid w:val="00495C05"/>
    <w:rsid w:val="00497801"/>
    <w:rsid w:val="004A004B"/>
    <w:rsid w:val="004A0300"/>
    <w:rsid w:val="004A03B1"/>
    <w:rsid w:val="004A0DAD"/>
    <w:rsid w:val="004A2FB9"/>
    <w:rsid w:val="004A3D0C"/>
    <w:rsid w:val="004B0392"/>
    <w:rsid w:val="004B38B9"/>
    <w:rsid w:val="004B58DE"/>
    <w:rsid w:val="004B65B4"/>
    <w:rsid w:val="004B6972"/>
    <w:rsid w:val="004B6B77"/>
    <w:rsid w:val="004B7702"/>
    <w:rsid w:val="004C05B3"/>
    <w:rsid w:val="004C094C"/>
    <w:rsid w:val="004C1AF5"/>
    <w:rsid w:val="004C264F"/>
    <w:rsid w:val="004C3A87"/>
    <w:rsid w:val="004C3FE9"/>
    <w:rsid w:val="004C6614"/>
    <w:rsid w:val="004D0F22"/>
    <w:rsid w:val="004D16ED"/>
    <w:rsid w:val="004D6AE6"/>
    <w:rsid w:val="004E0ABD"/>
    <w:rsid w:val="004E0DD0"/>
    <w:rsid w:val="004E5BFC"/>
    <w:rsid w:val="004F0092"/>
    <w:rsid w:val="004F286E"/>
    <w:rsid w:val="004F6E80"/>
    <w:rsid w:val="00500C6D"/>
    <w:rsid w:val="00501107"/>
    <w:rsid w:val="00501692"/>
    <w:rsid w:val="005018F6"/>
    <w:rsid w:val="00504AD2"/>
    <w:rsid w:val="005050CA"/>
    <w:rsid w:val="0050781A"/>
    <w:rsid w:val="00510905"/>
    <w:rsid w:val="00510CAE"/>
    <w:rsid w:val="00514E7A"/>
    <w:rsid w:val="005150BC"/>
    <w:rsid w:val="00515BB0"/>
    <w:rsid w:val="005174FE"/>
    <w:rsid w:val="0052401F"/>
    <w:rsid w:val="00525003"/>
    <w:rsid w:val="00526A78"/>
    <w:rsid w:val="00534544"/>
    <w:rsid w:val="00535617"/>
    <w:rsid w:val="00537C21"/>
    <w:rsid w:val="005418F9"/>
    <w:rsid w:val="00542200"/>
    <w:rsid w:val="00543788"/>
    <w:rsid w:val="00545EAC"/>
    <w:rsid w:val="00546491"/>
    <w:rsid w:val="005466C6"/>
    <w:rsid w:val="005473B4"/>
    <w:rsid w:val="00554C60"/>
    <w:rsid w:val="00557085"/>
    <w:rsid w:val="00557C4A"/>
    <w:rsid w:val="00561F97"/>
    <w:rsid w:val="00562099"/>
    <w:rsid w:val="00562908"/>
    <w:rsid w:val="005668EF"/>
    <w:rsid w:val="0056708A"/>
    <w:rsid w:val="00567A66"/>
    <w:rsid w:val="00573506"/>
    <w:rsid w:val="00574B49"/>
    <w:rsid w:val="0058152C"/>
    <w:rsid w:val="00582907"/>
    <w:rsid w:val="00585FFF"/>
    <w:rsid w:val="0058671A"/>
    <w:rsid w:val="00587EA3"/>
    <w:rsid w:val="005903CA"/>
    <w:rsid w:val="0059175B"/>
    <w:rsid w:val="005955F6"/>
    <w:rsid w:val="0059587C"/>
    <w:rsid w:val="00596CFD"/>
    <w:rsid w:val="005970A4"/>
    <w:rsid w:val="005A044D"/>
    <w:rsid w:val="005A12FB"/>
    <w:rsid w:val="005A2158"/>
    <w:rsid w:val="005A3D87"/>
    <w:rsid w:val="005A63FE"/>
    <w:rsid w:val="005B018F"/>
    <w:rsid w:val="005B2E4C"/>
    <w:rsid w:val="005B657E"/>
    <w:rsid w:val="005B669C"/>
    <w:rsid w:val="005B6EB5"/>
    <w:rsid w:val="005B7205"/>
    <w:rsid w:val="005C0513"/>
    <w:rsid w:val="005C55F1"/>
    <w:rsid w:val="005C6512"/>
    <w:rsid w:val="005D5184"/>
    <w:rsid w:val="005D6FA2"/>
    <w:rsid w:val="005D7B30"/>
    <w:rsid w:val="005E0594"/>
    <w:rsid w:val="005E4450"/>
    <w:rsid w:val="005E4EA9"/>
    <w:rsid w:val="005E556B"/>
    <w:rsid w:val="005E59A4"/>
    <w:rsid w:val="005E5D40"/>
    <w:rsid w:val="005E6E9F"/>
    <w:rsid w:val="005E7D85"/>
    <w:rsid w:val="005F1592"/>
    <w:rsid w:val="005F2D07"/>
    <w:rsid w:val="005F2DF4"/>
    <w:rsid w:val="005F51CA"/>
    <w:rsid w:val="005F5AF3"/>
    <w:rsid w:val="006057A5"/>
    <w:rsid w:val="00605EEE"/>
    <w:rsid w:val="00605F32"/>
    <w:rsid w:val="006107FE"/>
    <w:rsid w:val="00611330"/>
    <w:rsid w:val="006136F7"/>
    <w:rsid w:val="00613BAA"/>
    <w:rsid w:val="006147B0"/>
    <w:rsid w:val="006154F7"/>
    <w:rsid w:val="006160D0"/>
    <w:rsid w:val="006164A4"/>
    <w:rsid w:val="00617B22"/>
    <w:rsid w:val="00617B90"/>
    <w:rsid w:val="00620B28"/>
    <w:rsid w:val="00621902"/>
    <w:rsid w:val="00624400"/>
    <w:rsid w:val="00624AD0"/>
    <w:rsid w:val="0062548F"/>
    <w:rsid w:val="00625C05"/>
    <w:rsid w:val="00626E01"/>
    <w:rsid w:val="00637038"/>
    <w:rsid w:val="0064374C"/>
    <w:rsid w:val="00645BA6"/>
    <w:rsid w:val="00645F11"/>
    <w:rsid w:val="006472B5"/>
    <w:rsid w:val="006473FB"/>
    <w:rsid w:val="00650461"/>
    <w:rsid w:val="00651E26"/>
    <w:rsid w:val="0065396B"/>
    <w:rsid w:val="0066197C"/>
    <w:rsid w:val="00665E87"/>
    <w:rsid w:val="006661E3"/>
    <w:rsid w:val="00670787"/>
    <w:rsid w:val="00671574"/>
    <w:rsid w:val="006734A2"/>
    <w:rsid w:val="00674696"/>
    <w:rsid w:val="006751BE"/>
    <w:rsid w:val="00675523"/>
    <w:rsid w:val="0067661C"/>
    <w:rsid w:val="00680089"/>
    <w:rsid w:val="00680819"/>
    <w:rsid w:val="00680DAE"/>
    <w:rsid w:val="0068280E"/>
    <w:rsid w:val="00682CF4"/>
    <w:rsid w:val="00690FE4"/>
    <w:rsid w:val="00697401"/>
    <w:rsid w:val="006974A7"/>
    <w:rsid w:val="006A0FDC"/>
    <w:rsid w:val="006A7DE5"/>
    <w:rsid w:val="006B0C66"/>
    <w:rsid w:val="006B36BE"/>
    <w:rsid w:val="006B4C9F"/>
    <w:rsid w:val="006B5442"/>
    <w:rsid w:val="006B61E1"/>
    <w:rsid w:val="006B7123"/>
    <w:rsid w:val="006B7DC5"/>
    <w:rsid w:val="006B7FE7"/>
    <w:rsid w:val="006C013F"/>
    <w:rsid w:val="006C124A"/>
    <w:rsid w:val="006C4F65"/>
    <w:rsid w:val="006C5DEF"/>
    <w:rsid w:val="006D2940"/>
    <w:rsid w:val="006D68F2"/>
    <w:rsid w:val="006D6A46"/>
    <w:rsid w:val="006D725F"/>
    <w:rsid w:val="006E037B"/>
    <w:rsid w:val="006E0935"/>
    <w:rsid w:val="006E1537"/>
    <w:rsid w:val="006E1607"/>
    <w:rsid w:val="006E4454"/>
    <w:rsid w:val="006E6A2B"/>
    <w:rsid w:val="006E7543"/>
    <w:rsid w:val="006F35D2"/>
    <w:rsid w:val="006F381A"/>
    <w:rsid w:val="006F3EB7"/>
    <w:rsid w:val="006F56E3"/>
    <w:rsid w:val="00700041"/>
    <w:rsid w:val="007009F3"/>
    <w:rsid w:val="007017D8"/>
    <w:rsid w:val="007077A7"/>
    <w:rsid w:val="007077B5"/>
    <w:rsid w:val="00707EE9"/>
    <w:rsid w:val="00713261"/>
    <w:rsid w:val="00714D7B"/>
    <w:rsid w:val="0071564B"/>
    <w:rsid w:val="00715D1F"/>
    <w:rsid w:val="0071633D"/>
    <w:rsid w:val="007200CA"/>
    <w:rsid w:val="0072455A"/>
    <w:rsid w:val="00724B9D"/>
    <w:rsid w:val="0072569E"/>
    <w:rsid w:val="00725816"/>
    <w:rsid w:val="0072623C"/>
    <w:rsid w:val="00726CA6"/>
    <w:rsid w:val="007304FE"/>
    <w:rsid w:val="00740FB1"/>
    <w:rsid w:val="00742A33"/>
    <w:rsid w:val="00743891"/>
    <w:rsid w:val="00744601"/>
    <w:rsid w:val="00746812"/>
    <w:rsid w:val="007504E4"/>
    <w:rsid w:val="00755B1D"/>
    <w:rsid w:val="00764F59"/>
    <w:rsid w:val="00765324"/>
    <w:rsid w:val="00770A4A"/>
    <w:rsid w:val="00770DC1"/>
    <w:rsid w:val="007748F1"/>
    <w:rsid w:val="0077588A"/>
    <w:rsid w:val="00776FE8"/>
    <w:rsid w:val="00780691"/>
    <w:rsid w:val="0078134D"/>
    <w:rsid w:val="00782962"/>
    <w:rsid w:val="007850E6"/>
    <w:rsid w:val="007864CE"/>
    <w:rsid w:val="007870B2"/>
    <w:rsid w:val="007873A1"/>
    <w:rsid w:val="00791963"/>
    <w:rsid w:val="00797C20"/>
    <w:rsid w:val="007A0118"/>
    <w:rsid w:val="007A07EB"/>
    <w:rsid w:val="007A0B50"/>
    <w:rsid w:val="007A2763"/>
    <w:rsid w:val="007A39FD"/>
    <w:rsid w:val="007A48E6"/>
    <w:rsid w:val="007A4B1E"/>
    <w:rsid w:val="007A5C79"/>
    <w:rsid w:val="007A76C0"/>
    <w:rsid w:val="007B46AC"/>
    <w:rsid w:val="007C05C0"/>
    <w:rsid w:val="007C0EE3"/>
    <w:rsid w:val="007C2FC9"/>
    <w:rsid w:val="007C3224"/>
    <w:rsid w:val="007C4CF9"/>
    <w:rsid w:val="007C6D1F"/>
    <w:rsid w:val="007D03CE"/>
    <w:rsid w:val="007D0661"/>
    <w:rsid w:val="007D176A"/>
    <w:rsid w:val="007D22B6"/>
    <w:rsid w:val="007D23FF"/>
    <w:rsid w:val="007D2739"/>
    <w:rsid w:val="007D2907"/>
    <w:rsid w:val="007D3A3C"/>
    <w:rsid w:val="007D5831"/>
    <w:rsid w:val="007D6328"/>
    <w:rsid w:val="007D7670"/>
    <w:rsid w:val="007E521E"/>
    <w:rsid w:val="007E56CF"/>
    <w:rsid w:val="007E68EB"/>
    <w:rsid w:val="007E74D4"/>
    <w:rsid w:val="007E7E55"/>
    <w:rsid w:val="007F36F0"/>
    <w:rsid w:val="007F4BBA"/>
    <w:rsid w:val="007F7798"/>
    <w:rsid w:val="00801586"/>
    <w:rsid w:val="00801D11"/>
    <w:rsid w:val="008047E7"/>
    <w:rsid w:val="00804D8A"/>
    <w:rsid w:val="008052F7"/>
    <w:rsid w:val="008105C6"/>
    <w:rsid w:val="008107C1"/>
    <w:rsid w:val="00813A03"/>
    <w:rsid w:val="00813DDC"/>
    <w:rsid w:val="00814C13"/>
    <w:rsid w:val="008156CA"/>
    <w:rsid w:val="00825A64"/>
    <w:rsid w:val="00830620"/>
    <w:rsid w:val="00831637"/>
    <w:rsid w:val="00837658"/>
    <w:rsid w:val="00837A1B"/>
    <w:rsid w:val="008402E9"/>
    <w:rsid w:val="0084074B"/>
    <w:rsid w:val="008410B2"/>
    <w:rsid w:val="0084124A"/>
    <w:rsid w:val="00841C10"/>
    <w:rsid w:val="00841F7D"/>
    <w:rsid w:val="008448BD"/>
    <w:rsid w:val="00846071"/>
    <w:rsid w:val="00846AC1"/>
    <w:rsid w:val="0084797D"/>
    <w:rsid w:val="00850B5F"/>
    <w:rsid w:val="00852780"/>
    <w:rsid w:val="00860F4E"/>
    <w:rsid w:val="00864B51"/>
    <w:rsid w:val="0086650B"/>
    <w:rsid w:val="008700EA"/>
    <w:rsid w:val="00873EC4"/>
    <w:rsid w:val="00874692"/>
    <w:rsid w:val="00875028"/>
    <w:rsid w:val="008757C5"/>
    <w:rsid w:val="008765AF"/>
    <w:rsid w:val="008767BE"/>
    <w:rsid w:val="0088453B"/>
    <w:rsid w:val="00885690"/>
    <w:rsid w:val="00885E79"/>
    <w:rsid w:val="00886CC6"/>
    <w:rsid w:val="00887223"/>
    <w:rsid w:val="00887348"/>
    <w:rsid w:val="0088778C"/>
    <w:rsid w:val="00887E0B"/>
    <w:rsid w:val="00890339"/>
    <w:rsid w:val="00891752"/>
    <w:rsid w:val="0089311A"/>
    <w:rsid w:val="00894C86"/>
    <w:rsid w:val="0089551D"/>
    <w:rsid w:val="00895ADB"/>
    <w:rsid w:val="008A5CBF"/>
    <w:rsid w:val="008A69B5"/>
    <w:rsid w:val="008B0137"/>
    <w:rsid w:val="008B4644"/>
    <w:rsid w:val="008B4E3F"/>
    <w:rsid w:val="008C0601"/>
    <w:rsid w:val="008C0AEB"/>
    <w:rsid w:val="008C3F5A"/>
    <w:rsid w:val="008C4DA7"/>
    <w:rsid w:val="008C7CC5"/>
    <w:rsid w:val="008D170F"/>
    <w:rsid w:val="008D1B53"/>
    <w:rsid w:val="008D369F"/>
    <w:rsid w:val="008E2401"/>
    <w:rsid w:val="008E77D8"/>
    <w:rsid w:val="008E7970"/>
    <w:rsid w:val="008F2228"/>
    <w:rsid w:val="008F2A8E"/>
    <w:rsid w:val="008F3283"/>
    <w:rsid w:val="008F33E9"/>
    <w:rsid w:val="008F3632"/>
    <w:rsid w:val="009014B3"/>
    <w:rsid w:val="009020ED"/>
    <w:rsid w:val="00904615"/>
    <w:rsid w:val="00906429"/>
    <w:rsid w:val="00912374"/>
    <w:rsid w:val="00913066"/>
    <w:rsid w:val="00914E62"/>
    <w:rsid w:val="00922331"/>
    <w:rsid w:val="009238AD"/>
    <w:rsid w:val="00924347"/>
    <w:rsid w:val="0092458D"/>
    <w:rsid w:val="009268AC"/>
    <w:rsid w:val="00931830"/>
    <w:rsid w:val="0093244A"/>
    <w:rsid w:val="009336B8"/>
    <w:rsid w:val="009354AE"/>
    <w:rsid w:val="009365E8"/>
    <w:rsid w:val="00936A81"/>
    <w:rsid w:val="009379D4"/>
    <w:rsid w:val="00940F1F"/>
    <w:rsid w:val="009425B0"/>
    <w:rsid w:val="00944FB1"/>
    <w:rsid w:val="009456ED"/>
    <w:rsid w:val="009519D1"/>
    <w:rsid w:val="00953624"/>
    <w:rsid w:val="00953AC0"/>
    <w:rsid w:val="0095508F"/>
    <w:rsid w:val="00955F0F"/>
    <w:rsid w:val="00956BC5"/>
    <w:rsid w:val="00957F29"/>
    <w:rsid w:val="0096031E"/>
    <w:rsid w:val="00960976"/>
    <w:rsid w:val="00964FF5"/>
    <w:rsid w:val="00966B74"/>
    <w:rsid w:val="0097046C"/>
    <w:rsid w:val="00970C27"/>
    <w:rsid w:val="00970FFC"/>
    <w:rsid w:val="00974666"/>
    <w:rsid w:val="0097537E"/>
    <w:rsid w:val="00980201"/>
    <w:rsid w:val="00980B44"/>
    <w:rsid w:val="00985756"/>
    <w:rsid w:val="009867C5"/>
    <w:rsid w:val="00986E30"/>
    <w:rsid w:val="009872F3"/>
    <w:rsid w:val="0099008D"/>
    <w:rsid w:val="009909BA"/>
    <w:rsid w:val="00993A8C"/>
    <w:rsid w:val="00995589"/>
    <w:rsid w:val="00995B9B"/>
    <w:rsid w:val="00996930"/>
    <w:rsid w:val="009977ED"/>
    <w:rsid w:val="009A04ED"/>
    <w:rsid w:val="009A497E"/>
    <w:rsid w:val="009A4E7C"/>
    <w:rsid w:val="009A53E1"/>
    <w:rsid w:val="009A6A32"/>
    <w:rsid w:val="009A6F98"/>
    <w:rsid w:val="009B01D0"/>
    <w:rsid w:val="009B2131"/>
    <w:rsid w:val="009B2CF4"/>
    <w:rsid w:val="009B3398"/>
    <w:rsid w:val="009B50C7"/>
    <w:rsid w:val="009B5269"/>
    <w:rsid w:val="009B6295"/>
    <w:rsid w:val="009C0A90"/>
    <w:rsid w:val="009C4440"/>
    <w:rsid w:val="009C5AA4"/>
    <w:rsid w:val="009C6409"/>
    <w:rsid w:val="009C7071"/>
    <w:rsid w:val="009C73BC"/>
    <w:rsid w:val="009D0C67"/>
    <w:rsid w:val="009D351F"/>
    <w:rsid w:val="009D41C6"/>
    <w:rsid w:val="009D450A"/>
    <w:rsid w:val="009D48AD"/>
    <w:rsid w:val="009D51B3"/>
    <w:rsid w:val="009E1B92"/>
    <w:rsid w:val="009E75AD"/>
    <w:rsid w:val="009F0E61"/>
    <w:rsid w:val="009F3293"/>
    <w:rsid w:val="00A05C6C"/>
    <w:rsid w:val="00A10741"/>
    <w:rsid w:val="00A1311A"/>
    <w:rsid w:val="00A14F0A"/>
    <w:rsid w:val="00A1557E"/>
    <w:rsid w:val="00A167F8"/>
    <w:rsid w:val="00A20D1C"/>
    <w:rsid w:val="00A219CE"/>
    <w:rsid w:val="00A225E4"/>
    <w:rsid w:val="00A2294B"/>
    <w:rsid w:val="00A25234"/>
    <w:rsid w:val="00A317D9"/>
    <w:rsid w:val="00A33876"/>
    <w:rsid w:val="00A344E1"/>
    <w:rsid w:val="00A358C5"/>
    <w:rsid w:val="00A42186"/>
    <w:rsid w:val="00A4245B"/>
    <w:rsid w:val="00A44F46"/>
    <w:rsid w:val="00A4766C"/>
    <w:rsid w:val="00A51EB6"/>
    <w:rsid w:val="00A521C6"/>
    <w:rsid w:val="00A546AA"/>
    <w:rsid w:val="00A54AB3"/>
    <w:rsid w:val="00A56FB5"/>
    <w:rsid w:val="00A5759B"/>
    <w:rsid w:val="00A57E9D"/>
    <w:rsid w:val="00A62A2D"/>
    <w:rsid w:val="00A63CAB"/>
    <w:rsid w:val="00A64EB5"/>
    <w:rsid w:val="00A65EB6"/>
    <w:rsid w:val="00A66445"/>
    <w:rsid w:val="00A67790"/>
    <w:rsid w:val="00A717FE"/>
    <w:rsid w:val="00A75520"/>
    <w:rsid w:val="00A77056"/>
    <w:rsid w:val="00A77905"/>
    <w:rsid w:val="00A84432"/>
    <w:rsid w:val="00A84DDD"/>
    <w:rsid w:val="00A86C78"/>
    <w:rsid w:val="00A86F7B"/>
    <w:rsid w:val="00A90E56"/>
    <w:rsid w:val="00A93DC4"/>
    <w:rsid w:val="00A9510F"/>
    <w:rsid w:val="00AA02F8"/>
    <w:rsid w:val="00AA24A0"/>
    <w:rsid w:val="00AA6E77"/>
    <w:rsid w:val="00AB0444"/>
    <w:rsid w:val="00AB24D7"/>
    <w:rsid w:val="00AB3810"/>
    <w:rsid w:val="00AB54EB"/>
    <w:rsid w:val="00AC18B6"/>
    <w:rsid w:val="00AC1A22"/>
    <w:rsid w:val="00AC3E42"/>
    <w:rsid w:val="00AC4136"/>
    <w:rsid w:val="00AC57D0"/>
    <w:rsid w:val="00AC5860"/>
    <w:rsid w:val="00AC638F"/>
    <w:rsid w:val="00AD0B01"/>
    <w:rsid w:val="00AD1E09"/>
    <w:rsid w:val="00AD2A3E"/>
    <w:rsid w:val="00AD2BDE"/>
    <w:rsid w:val="00AD3ADD"/>
    <w:rsid w:val="00AD57F2"/>
    <w:rsid w:val="00AE038D"/>
    <w:rsid w:val="00AE0EF8"/>
    <w:rsid w:val="00AE2510"/>
    <w:rsid w:val="00AE2639"/>
    <w:rsid w:val="00AE3642"/>
    <w:rsid w:val="00AE3916"/>
    <w:rsid w:val="00AE518B"/>
    <w:rsid w:val="00AE7A00"/>
    <w:rsid w:val="00AF1011"/>
    <w:rsid w:val="00AF14B7"/>
    <w:rsid w:val="00AF1C29"/>
    <w:rsid w:val="00AF20FB"/>
    <w:rsid w:val="00AF2985"/>
    <w:rsid w:val="00AF4A8C"/>
    <w:rsid w:val="00AF554B"/>
    <w:rsid w:val="00B0151F"/>
    <w:rsid w:val="00B0397D"/>
    <w:rsid w:val="00B064F3"/>
    <w:rsid w:val="00B06902"/>
    <w:rsid w:val="00B07227"/>
    <w:rsid w:val="00B07754"/>
    <w:rsid w:val="00B1072F"/>
    <w:rsid w:val="00B11445"/>
    <w:rsid w:val="00B11644"/>
    <w:rsid w:val="00B11AE5"/>
    <w:rsid w:val="00B11F27"/>
    <w:rsid w:val="00B12011"/>
    <w:rsid w:val="00B12028"/>
    <w:rsid w:val="00B213B2"/>
    <w:rsid w:val="00B261FB"/>
    <w:rsid w:val="00B26CC3"/>
    <w:rsid w:val="00B27446"/>
    <w:rsid w:val="00B32E1C"/>
    <w:rsid w:val="00B3431F"/>
    <w:rsid w:val="00B357F9"/>
    <w:rsid w:val="00B35A9D"/>
    <w:rsid w:val="00B37DA4"/>
    <w:rsid w:val="00B41883"/>
    <w:rsid w:val="00B434DC"/>
    <w:rsid w:val="00B45EE5"/>
    <w:rsid w:val="00B45FCB"/>
    <w:rsid w:val="00B5148D"/>
    <w:rsid w:val="00B5235F"/>
    <w:rsid w:val="00B528E7"/>
    <w:rsid w:val="00B5403B"/>
    <w:rsid w:val="00B55D75"/>
    <w:rsid w:val="00B56D46"/>
    <w:rsid w:val="00B57B7E"/>
    <w:rsid w:val="00B61020"/>
    <w:rsid w:val="00B6206C"/>
    <w:rsid w:val="00B629B7"/>
    <w:rsid w:val="00B646FD"/>
    <w:rsid w:val="00B656AA"/>
    <w:rsid w:val="00B6638A"/>
    <w:rsid w:val="00B67EAC"/>
    <w:rsid w:val="00B70AD0"/>
    <w:rsid w:val="00B733E3"/>
    <w:rsid w:val="00B74A00"/>
    <w:rsid w:val="00B750F5"/>
    <w:rsid w:val="00B75852"/>
    <w:rsid w:val="00B80362"/>
    <w:rsid w:val="00B805F9"/>
    <w:rsid w:val="00B80FE1"/>
    <w:rsid w:val="00B81D1C"/>
    <w:rsid w:val="00B8413B"/>
    <w:rsid w:val="00B8439F"/>
    <w:rsid w:val="00B84939"/>
    <w:rsid w:val="00B84ECA"/>
    <w:rsid w:val="00B903A9"/>
    <w:rsid w:val="00B90E8F"/>
    <w:rsid w:val="00B91322"/>
    <w:rsid w:val="00B91801"/>
    <w:rsid w:val="00B94889"/>
    <w:rsid w:val="00B970DF"/>
    <w:rsid w:val="00B97E4E"/>
    <w:rsid w:val="00BA0767"/>
    <w:rsid w:val="00BA2A90"/>
    <w:rsid w:val="00BA2F7C"/>
    <w:rsid w:val="00BA39AC"/>
    <w:rsid w:val="00BA7093"/>
    <w:rsid w:val="00BB1D78"/>
    <w:rsid w:val="00BB3E6F"/>
    <w:rsid w:val="00BB46B5"/>
    <w:rsid w:val="00BB6577"/>
    <w:rsid w:val="00BC0F25"/>
    <w:rsid w:val="00BC721C"/>
    <w:rsid w:val="00BD2855"/>
    <w:rsid w:val="00BD321F"/>
    <w:rsid w:val="00BD3DF0"/>
    <w:rsid w:val="00BD7BD5"/>
    <w:rsid w:val="00BE2D51"/>
    <w:rsid w:val="00BE41FA"/>
    <w:rsid w:val="00BF4487"/>
    <w:rsid w:val="00BF4591"/>
    <w:rsid w:val="00BF5CF6"/>
    <w:rsid w:val="00BF667A"/>
    <w:rsid w:val="00C00AC8"/>
    <w:rsid w:val="00C0274A"/>
    <w:rsid w:val="00C02B5D"/>
    <w:rsid w:val="00C03584"/>
    <w:rsid w:val="00C05D7C"/>
    <w:rsid w:val="00C10699"/>
    <w:rsid w:val="00C11383"/>
    <w:rsid w:val="00C141BA"/>
    <w:rsid w:val="00C16B60"/>
    <w:rsid w:val="00C201BE"/>
    <w:rsid w:val="00C21B7A"/>
    <w:rsid w:val="00C2208B"/>
    <w:rsid w:val="00C2491D"/>
    <w:rsid w:val="00C25135"/>
    <w:rsid w:val="00C25B18"/>
    <w:rsid w:val="00C2766C"/>
    <w:rsid w:val="00C30177"/>
    <w:rsid w:val="00C30E30"/>
    <w:rsid w:val="00C31E35"/>
    <w:rsid w:val="00C328E3"/>
    <w:rsid w:val="00C32D0E"/>
    <w:rsid w:val="00C33A3F"/>
    <w:rsid w:val="00C34036"/>
    <w:rsid w:val="00C344C1"/>
    <w:rsid w:val="00C353ED"/>
    <w:rsid w:val="00C35FD5"/>
    <w:rsid w:val="00C404E0"/>
    <w:rsid w:val="00C418B4"/>
    <w:rsid w:val="00C41F82"/>
    <w:rsid w:val="00C4314A"/>
    <w:rsid w:val="00C44B32"/>
    <w:rsid w:val="00C463DD"/>
    <w:rsid w:val="00C4756F"/>
    <w:rsid w:val="00C47A11"/>
    <w:rsid w:val="00C47AD1"/>
    <w:rsid w:val="00C52405"/>
    <w:rsid w:val="00C53589"/>
    <w:rsid w:val="00C53DCE"/>
    <w:rsid w:val="00C554A7"/>
    <w:rsid w:val="00C568AD"/>
    <w:rsid w:val="00C574E9"/>
    <w:rsid w:val="00C617DD"/>
    <w:rsid w:val="00C625B2"/>
    <w:rsid w:val="00C6287A"/>
    <w:rsid w:val="00C63723"/>
    <w:rsid w:val="00C637E3"/>
    <w:rsid w:val="00C733A4"/>
    <w:rsid w:val="00C775D1"/>
    <w:rsid w:val="00C77AD2"/>
    <w:rsid w:val="00C8077B"/>
    <w:rsid w:val="00C80A76"/>
    <w:rsid w:val="00C81068"/>
    <w:rsid w:val="00C8156D"/>
    <w:rsid w:val="00C85A0C"/>
    <w:rsid w:val="00C8613B"/>
    <w:rsid w:val="00C91A32"/>
    <w:rsid w:val="00CA2B0D"/>
    <w:rsid w:val="00CA4297"/>
    <w:rsid w:val="00CA5232"/>
    <w:rsid w:val="00CA6752"/>
    <w:rsid w:val="00CA6B0F"/>
    <w:rsid w:val="00CA7064"/>
    <w:rsid w:val="00CA74A5"/>
    <w:rsid w:val="00CB0618"/>
    <w:rsid w:val="00CB0F05"/>
    <w:rsid w:val="00CB1110"/>
    <w:rsid w:val="00CB230C"/>
    <w:rsid w:val="00CB2B6E"/>
    <w:rsid w:val="00CB6F44"/>
    <w:rsid w:val="00CB703F"/>
    <w:rsid w:val="00CB727E"/>
    <w:rsid w:val="00CB782E"/>
    <w:rsid w:val="00CC11F9"/>
    <w:rsid w:val="00CC2D18"/>
    <w:rsid w:val="00CC6C54"/>
    <w:rsid w:val="00CD34EE"/>
    <w:rsid w:val="00CD3CD0"/>
    <w:rsid w:val="00CD40F0"/>
    <w:rsid w:val="00CD4512"/>
    <w:rsid w:val="00CD7C3B"/>
    <w:rsid w:val="00CE18F1"/>
    <w:rsid w:val="00CE1F88"/>
    <w:rsid w:val="00CE221A"/>
    <w:rsid w:val="00CE4108"/>
    <w:rsid w:val="00CE435C"/>
    <w:rsid w:val="00CF00BE"/>
    <w:rsid w:val="00CF23FB"/>
    <w:rsid w:val="00CF7A6F"/>
    <w:rsid w:val="00D0057C"/>
    <w:rsid w:val="00D03881"/>
    <w:rsid w:val="00D10753"/>
    <w:rsid w:val="00D10BB6"/>
    <w:rsid w:val="00D12A1D"/>
    <w:rsid w:val="00D15DE3"/>
    <w:rsid w:val="00D1671B"/>
    <w:rsid w:val="00D17712"/>
    <w:rsid w:val="00D211E9"/>
    <w:rsid w:val="00D21ACC"/>
    <w:rsid w:val="00D22451"/>
    <w:rsid w:val="00D2393D"/>
    <w:rsid w:val="00D23EB2"/>
    <w:rsid w:val="00D25593"/>
    <w:rsid w:val="00D25926"/>
    <w:rsid w:val="00D27831"/>
    <w:rsid w:val="00D3262F"/>
    <w:rsid w:val="00D32C93"/>
    <w:rsid w:val="00D33FA8"/>
    <w:rsid w:val="00D37CC6"/>
    <w:rsid w:val="00D41978"/>
    <w:rsid w:val="00D43C73"/>
    <w:rsid w:val="00D45B90"/>
    <w:rsid w:val="00D45ECB"/>
    <w:rsid w:val="00D47028"/>
    <w:rsid w:val="00D50B03"/>
    <w:rsid w:val="00D512DB"/>
    <w:rsid w:val="00D537D9"/>
    <w:rsid w:val="00D53999"/>
    <w:rsid w:val="00D5512B"/>
    <w:rsid w:val="00D560ED"/>
    <w:rsid w:val="00D56C5A"/>
    <w:rsid w:val="00D57A91"/>
    <w:rsid w:val="00D63E3E"/>
    <w:rsid w:val="00D65E49"/>
    <w:rsid w:val="00D67DAD"/>
    <w:rsid w:val="00D70F22"/>
    <w:rsid w:val="00D736E0"/>
    <w:rsid w:val="00D74E8C"/>
    <w:rsid w:val="00D91A79"/>
    <w:rsid w:val="00D932EE"/>
    <w:rsid w:val="00D942D7"/>
    <w:rsid w:val="00D952A4"/>
    <w:rsid w:val="00D96B2C"/>
    <w:rsid w:val="00DA1223"/>
    <w:rsid w:val="00DA19B3"/>
    <w:rsid w:val="00DA213E"/>
    <w:rsid w:val="00DA369F"/>
    <w:rsid w:val="00DA513E"/>
    <w:rsid w:val="00DA6872"/>
    <w:rsid w:val="00DA7ECE"/>
    <w:rsid w:val="00DB2487"/>
    <w:rsid w:val="00DB66C2"/>
    <w:rsid w:val="00DB6F4C"/>
    <w:rsid w:val="00DC20B2"/>
    <w:rsid w:val="00DC2F33"/>
    <w:rsid w:val="00DC31F1"/>
    <w:rsid w:val="00DC4E52"/>
    <w:rsid w:val="00DC547A"/>
    <w:rsid w:val="00DC6F1E"/>
    <w:rsid w:val="00DC7577"/>
    <w:rsid w:val="00DD0D9A"/>
    <w:rsid w:val="00DD12FF"/>
    <w:rsid w:val="00DD1938"/>
    <w:rsid w:val="00DD1E46"/>
    <w:rsid w:val="00DD44B9"/>
    <w:rsid w:val="00DD5ABF"/>
    <w:rsid w:val="00DD6D4D"/>
    <w:rsid w:val="00DE06D4"/>
    <w:rsid w:val="00DE11A0"/>
    <w:rsid w:val="00DE20F1"/>
    <w:rsid w:val="00DE4A6D"/>
    <w:rsid w:val="00DE6E52"/>
    <w:rsid w:val="00DF0870"/>
    <w:rsid w:val="00DF1961"/>
    <w:rsid w:val="00DF20A6"/>
    <w:rsid w:val="00DF2B58"/>
    <w:rsid w:val="00DF6C1E"/>
    <w:rsid w:val="00E0240C"/>
    <w:rsid w:val="00E025E2"/>
    <w:rsid w:val="00E03255"/>
    <w:rsid w:val="00E0523F"/>
    <w:rsid w:val="00E11641"/>
    <w:rsid w:val="00E143BE"/>
    <w:rsid w:val="00E151EE"/>
    <w:rsid w:val="00E154B0"/>
    <w:rsid w:val="00E15A73"/>
    <w:rsid w:val="00E206F1"/>
    <w:rsid w:val="00E21256"/>
    <w:rsid w:val="00E23118"/>
    <w:rsid w:val="00E23314"/>
    <w:rsid w:val="00E2458F"/>
    <w:rsid w:val="00E24BC3"/>
    <w:rsid w:val="00E260DD"/>
    <w:rsid w:val="00E30371"/>
    <w:rsid w:val="00E310E3"/>
    <w:rsid w:val="00E34338"/>
    <w:rsid w:val="00E37F4F"/>
    <w:rsid w:val="00E40FCC"/>
    <w:rsid w:val="00E4141E"/>
    <w:rsid w:val="00E4370E"/>
    <w:rsid w:val="00E43755"/>
    <w:rsid w:val="00E457EC"/>
    <w:rsid w:val="00E45D57"/>
    <w:rsid w:val="00E46B83"/>
    <w:rsid w:val="00E50B47"/>
    <w:rsid w:val="00E51187"/>
    <w:rsid w:val="00E53051"/>
    <w:rsid w:val="00E551DC"/>
    <w:rsid w:val="00E5574E"/>
    <w:rsid w:val="00E573B3"/>
    <w:rsid w:val="00E60F76"/>
    <w:rsid w:val="00E611DD"/>
    <w:rsid w:val="00E61F7E"/>
    <w:rsid w:val="00E643FD"/>
    <w:rsid w:val="00E6470A"/>
    <w:rsid w:val="00E66483"/>
    <w:rsid w:val="00E676BF"/>
    <w:rsid w:val="00E70646"/>
    <w:rsid w:val="00E713E4"/>
    <w:rsid w:val="00E7636D"/>
    <w:rsid w:val="00E8098E"/>
    <w:rsid w:val="00E80C72"/>
    <w:rsid w:val="00E82B09"/>
    <w:rsid w:val="00E930DB"/>
    <w:rsid w:val="00E936BB"/>
    <w:rsid w:val="00E95978"/>
    <w:rsid w:val="00EA0592"/>
    <w:rsid w:val="00EA3301"/>
    <w:rsid w:val="00EA567C"/>
    <w:rsid w:val="00EA7969"/>
    <w:rsid w:val="00EA7E6B"/>
    <w:rsid w:val="00EB0C89"/>
    <w:rsid w:val="00EC1F2C"/>
    <w:rsid w:val="00EC285A"/>
    <w:rsid w:val="00EC2981"/>
    <w:rsid w:val="00EC3175"/>
    <w:rsid w:val="00EC4B94"/>
    <w:rsid w:val="00EC6AC5"/>
    <w:rsid w:val="00EC7FFE"/>
    <w:rsid w:val="00ED1E0C"/>
    <w:rsid w:val="00ED3CEB"/>
    <w:rsid w:val="00ED6198"/>
    <w:rsid w:val="00ED7DCD"/>
    <w:rsid w:val="00EE04AE"/>
    <w:rsid w:val="00EE1313"/>
    <w:rsid w:val="00EE6AEB"/>
    <w:rsid w:val="00EE7612"/>
    <w:rsid w:val="00EF0A1F"/>
    <w:rsid w:val="00EF0C82"/>
    <w:rsid w:val="00EF1230"/>
    <w:rsid w:val="00EF1E8D"/>
    <w:rsid w:val="00EF3CCC"/>
    <w:rsid w:val="00EF4116"/>
    <w:rsid w:val="00F003BF"/>
    <w:rsid w:val="00F01B0F"/>
    <w:rsid w:val="00F023CC"/>
    <w:rsid w:val="00F054C1"/>
    <w:rsid w:val="00F10C4D"/>
    <w:rsid w:val="00F10D5B"/>
    <w:rsid w:val="00F11295"/>
    <w:rsid w:val="00F121A6"/>
    <w:rsid w:val="00F12747"/>
    <w:rsid w:val="00F17542"/>
    <w:rsid w:val="00F17DD3"/>
    <w:rsid w:val="00F21BDD"/>
    <w:rsid w:val="00F238BD"/>
    <w:rsid w:val="00F25324"/>
    <w:rsid w:val="00F253D4"/>
    <w:rsid w:val="00F257AE"/>
    <w:rsid w:val="00F30B2A"/>
    <w:rsid w:val="00F34547"/>
    <w:rsid w:val="00F35045"/>
    <w:rsid w:val="00F36CB0"/>
    <w:rsid w:val="00F4236B"/>
    <w:rsid w:val="00F42DC5"/>
    <w:rsid w:val="00F462F7"/>
    <w:rsid w:val="00F46816"/>
    <w:rsid w:val="00F47D59"/>
    <w:rsid w:val="00F5182F"/>
    <w:rsid w:val="00F51DDD"/>
    <w:rsid w:val="00F52DB1"/>
    <w:rsid w:val="00F539B5"/>
    <w:rsid w:val="00F54760"/>
    <w:rsid w:val="00F60EF8"/>
    <w:rsid w:val="00F611DD"/>
    <w:rsid w:val="00F6120C"/>
    <w:rsid w:val="00F63A47"/>
    <w:rsid w:val="00F6749F"/>
    <w:rsid w:val="00F675B3"/>
    <w:rsid w:val="00F708B1"/>
    <w:rsid w:val="00F7262B"/>
    <w:rsid w:val="00F77E86"/>
    <w:rsid w:val="00F83EA2"/>
    <w:rsid w:val="00F914CA"/>
    <w:rsid w:val="00F941CA"/>
    <w:rsid w:val="00FA02C2"/>
    <w:rsid w:val="00FA1EC3"/>
    <w:rsid w:val="00FA22DE"/>
    <w:rsid w:val="00FA27F5"/>
    <w:rsid w:val="00FA32B9"/>
    <w:rsid w:val="00FA4138"/>
    <w:rsid w:val="00FA42C0"/>
    <w:rsid w:val="00FA51D8"/>
    <w:rsid w:val="00FA5A17"/>
    <w:rsid w:val="00FA6567"/>
    <w:rsid w:val="00FA756B"/>
    <w:rsid w:val="00FA7EE2"/>
    <w:rsid w:val="00FB071D"/>
    <w:rsid w:val="00FB43AE"/>
    <w:rsid w:val="00FC0964"/>
    <w:rsid w:val="00FC1BDF"/>
    <w:rsid w:val="00FC6AD7"/>
    <w:rsid w:val="00FD2F47"/>
    <w:rsid w:val="00FD5EEC"/>
    <w:rsid w:val="00FD692D"/>
    <w:rsid w:val="00FE003C"/>
    <w:rsid w:val="00FE020E"/>
    <w:rsid w:val="00FE25B5"/>
    <w:rsid w:val="00FE3FFC"/>
    <w:rsid w:val="00FE6E8E"/>
    <w:rsid w:val="00FF4DC7"/>
    <w:rsid w:val="01191DD6"/>
    <w:rsid w:val="01217ACD"/>
    <w:rsid w:val="0126679E"/>
    <w:rsid w:val="01394735"/>
    <w:rsid w:val="015F0C41"/>
    <w:rsid w:val="01730E94"/>
    <w:rsid w:val="017A2021"/>
    <w:rsid w:val="01892228"/>
    <w:rsid w:val="01A6270D"/>
    <w:rsid w:val="01B37456"/>
    <w:rsid w:val="01B60D60"/>
    <w:rsid w:val="01B7561A"/>
    <w:rsid w:val="01EC1561"/>
    <w:rsid w:val="0208612C"/>
    <w:rsid w:val="02515CF7"/>
    <w:rsid w:val="026C3D7E"/>
    <w:rsid w:val="02785C1C"/>
    <w:rsid w:val="02C6191F"/>
    <w:rsid w:val="02C77F0F"/>
    <w:rsid w:val="02EE5372"/>
    <w:rsid w:val="02EE7234"/>
    <w:rsid w:val="02EF3C64"/>
    <w:rsid w:val="02F25F1F"/>
    <w:rsid w:val="032621D7"/>
    <w:rsid w:val="03424146"/>
    <w:rsid w:val="038F5A61"/>
    <w:rsid w:val="03D93BDE"/>
    <w:rsid w:val="047B30A2"/>
    <w:rsid w:val="04BC65D1"/>
    <w:rsid w:val="04CF0B80"/>
    <w:rsid w:val="04E741FE"/>
    <w:rsid w:val="05FB0F1F"/>
    <w:rsid w:val="064400BE"/>
    <w:rsid w:val="064A56B8"/>
    <w:rsid w:val="067B0F7C"/>
    <w:rsid w:val="06B93CA5"/>
    <w:rsid w:val="06DB47FE"/>
    <w:rsid w:val="06F30C80"/>
    <w:rsid w:val="0714791C"/>
    <w:rsid w:val="07201631"/>
    <w:rsid w:val="074C3195"/>
    <w:rsid w:val="07AA0F0E"/>
    <w:rsid w:val="07AF0824"/>
    <w:rsid w:val="07E26406"/>
    <w:rsid w:val="08012EFE"/>
    <w:rsid w:val="0885244A"/>
    <w:rsid w:val="08A06E25"/>
    <w:rsid w:val="09372D11"/>
    <w:rsid w:val="095F3BAF"/>
    <w:rsid w:val="097E2EA4"/>
    <w:rsid w:val="098B5293"/>
    <w:rsid w:val="09A874AC"/>
    <w:rsid w:val="09C03B82"/>
    <w:rsid w:val="09E2015F"/>
    <w:rsid w:val="09E27DAD"/>
    <w:rsid w:val="0A0B7C1B"/>
    <w:rsid w:val="0A143B4E"/>
    <w:rsid w:val="0A1761FC"/>
    <w:rsid w:val="0A532A88"/>
    <w:rsid w:val="0A7E7940"/>
    <w:rsid w:val="0AAA4D8F"/>
    <w:rsid w:val="0B13481B"/>
    <w:rsid w:val="0B410A20"/>
    <w:rsid w:val="0B4838DB"/>
    <w:rsid w:val="0B6246BA"/>
    <w:rsid w:val="0B8321A5"/>
    <w:rsid w:val="0B8F6AF2"/>
    <w:rsid w:val="0BB63A4A"/>
    <w:rsid w:val="0BDE4FF8"/>
    <w:rsid w:val="0BF86919"/>
    <w:rsid w:val="0C2B67C3"/>
    <w:rsid w:val="0C9C6053"/>
    <w:rsid w:val="0CBC6B47"/>
    <w:rsid w:val="0CE76B83"/>
    <w:rsid w:val="0CFF5FC8"/>
    <w:rsid w:val="0D2700D4"/>
    <w:rsid w:val="0D3D7141"/>
    <w:rsid w:val="0D4378E8"/>
    <w:rsid w:val="0D653499"/>
    <w:rsid w:val="0D8903FB"/>
    <w:rsid w:val="0DD4782F"/>
    <w:rsid w:val="0DF235AD"/>
    <w:rsid w:val="0DF36D6A"/>
    <w:rsid w:val="0E124745"/>
    <w:rsid w:val="0E361C38"/>
    <w:rsid w:val="0E553EE7"/>
    <w:rsid w:val="0E821368"/>
    <w:rsid w:val="0E896217"/>
    <w:rsid w:val="0E8B6292"/>
    <w:rsid w:val="0E981EE9"/>
    <w:rsid w:val="0ED1681C"/>
    <w:rsid w:val="0EEE25D8"/>
    <w:rsid w:val="0EF177AF"/>
    <w:rsid w:val="0F096FEC"/>
    <w:rsid w:val="0F4B0A75"/>
    <w:rsid w:val="0F961ED8"/>
    <w:rsid w:val="0F987527"/>
    <w:rsid w:val="0FB51BAD"/>
    <w:rsid w:val="0FDA6C58"/>
    <w:rsid w:val="102555CD"/>
    <w:rsid w:val="103023CF"/>
    <w:rsid w:val="104313BE"/>
    <w:rsid w:val="108A43B6"/>
    <w:rsid w:val="10962ABC"/>
    <w:rsid w:val="109806F3"/>
    <w:rsid w:val="10C150C7"/>
    <w:rsid w:val="10E472A9"/>
    <w:rsid w:val="1110520F"/>
    <w:rsid w:val="112301D3"/>
    <w:rsid w:val="1124736D"/>
    <w:rsid w:val="113E79F0"/>
    <w:rsid w:val="11403F95"/>
    <w:rsid w:val="11582A04"/>
    <w:rsid w:val="11651369"/>
    <w:rsid w:val="117336D1"/>
    <w:rsid w:val="11FC4165"/>
    <w:rsid w:val="123957F8"/>
    <w:rsid w:val="12550174"/>
    <w:rsid w:val="12592FAD"/>
    <w:rsid w:val="129C1A38"/>
    <w:rsid w:val="12AA5065"/>
    <w:rsid w:val="12CA2EF1"/>
    <w:rsid w:val="12E051E3"/>
    <w:rsid w:val="12FF0B9F"/>
    <w:rsid w:val="132A53F3"/>
    <w:rsid w:val="132B4E51"/>
    <w:rsid w:val="13345F95"/>
    <w:rsid w:val="133E07DB"/>
    <w:rsid w:val="134A4DDB"/>
    <w:rsid w:val="13817E10"/>
    <w:rsid w:val="13CB17D7"/>
    <w:rsid w:val="14651D9A"/>
    <w:rsid w:val="147C52ED"/>
    <w:rsid w:val="14BB14E8"/>
    <w:rsid w:val="14C00289"/>
    <w:rsid w:val="14C9270A"/>
    <w:rsid w:val="155A1A37"/>
    <w:rsid w:val="157F31F7"/>
    <w:rsid w:val="15FB6141"/>
    <w:rsid w:val="16223DDD"/>
    <w:rsid w:val="16323ABE"/>
    <w:rsid w:val="1661266C"/>
    <w:rsid w:val="172C52C3"/>
    <w:rsid w:val="172E0127"/>
    <w:rsid w:val="175F244D"/>
    <w:rsid w:val="176E4974"/>
    <w:rsid w:val="17770DC0"/>
    <w:rsid w:val="17921B81"/>
    <w:rsid w:val="17A0253D"/>
    <w:rsid w:val="17AB0041"/>
    <w:rsid w:val="1802209A"/>
    <w:rsid w:val="18291E37"/>
    <w:rsid w:val="186576CE"/>
    <w:rsid w:val="187B660E"/>
    <w:rsid w:val="188767B4"/>
    <w:rsid w:val="18C8585B"/>
    <w:rsid w:val="18CF40F7"/>
    <w:rsid w:val="18D674D1"/>
    <w:rsid w:val="18F7015F"/>
    <w:rsid w:val="197E5B10"/>
    <w:rsid w:val="1986475C"/>
    <w:rsid w:val="19955302"/>
    <w:rsid w:val="199B7AB3"/>
    <w:rsid w:val="199F7287"/>
    <w:rsid w:val="19B558D6"/>
    <w:rsid w:val="19B95FE1"/>
    <w:rsid w:val="19BD22B4"/>
    <w:rsid w:val="19F2507C"/>
    <w:rsid w:val="1A59242A"/>
    <w:rsid w:val="1AAE3433"/>
    <w:rsid w:val="1AB70CE1"/>
    <w:rsid w:val="1AC330BB"/>
    <w:rsid w:val="1AD53364"/>
    <w:rsid w:val="1B4537B2"/>
    <w:rsid w:val="1B71732E"/>
    <w:rsid w:val="1B956C7B"/>
    <w:rsid w:val="1BAE6F82"/>
    <w:rsid w:val="1BE966F3"/>
    <w:rsid w:val="1BF43910"/>
    <w:rsid w:val="1BF754B3"/>
    <w:rsid w:val="1C062B85"/>
    <w:rsid w:val="1C352AE7"/>
    <w:rsid w:val="1C59584D"/>
    <w:rsid w:val="1C7E0AF1"/>
    <w:rsid w:val="1C9965ED"/>
    <w:rsid w:val="1CA81113"/>
    <w:rsid w:val="1D260D41"/>
    <w:rsid w:val="1D624B0A"/>
    <w:rsid w:val="1D6461DE"/>
    <w:rsid w:val="1D687D8D"/>
    <w:rsid w:val="1D8705FB"/>
    <w:rsid w:val="1D9E0DE5"/>
    <w:rsid w:val="1DFC1B99"/>
    <w:rsid w:val="1E0541B5"/>
    <w:rsid w:val="1E2A3118"/>
    <w:rsid w:val="1E2B77C5"/>
    <w:rsid w:val="1EA230E1"/>
    <w:rsid w:val="1EBA4EFB"/>
    <w:rsid w:val="1EC643BE"/>
    <w:rsid w:val="1F481691"/>
    <w:rsid w:val="1F585602"/>
    <w:rsid w:val="1F781B0A"/>
    <w:rsid w:val="1F7F13C6"/>
    <w:rsid w:val="20226809"/>
    <w:rsid w:val="20304BAD"/>
    <w:rsid w:val="20387094"/>
    <w:rsid w:val="203E2650"/>
    <w:rsid w:val="207841DF"/>
    <w:rsid w:val="208C4F1C"/>
    <w:rsid w:val="208F48B2"/>
    <w:rsid w:val="21136EB6"/>
    <w:rsid w:val="211C05A1"/>
    <w:rsid w:val="2161209B"/>
    <w:rsid w:val="21A06D72"/>
    <w:rsid w:val="21AB5240"/>
    <w:rsid w:val="21AE7F80"/>
    <w:rsid w:val="21BE06E4"/>
    <w:rsid w:val="22411304"/>
    <w:rsid w:val="22493BF3"/>
    <w:rsid w:val="22945092"/>
    <w:rsid w:val="22B64C33"/>
    <w:rsid w:val="22CD0962"/>
    <w:rsid w:val="22F919D3"/>
    <w:rsid w:val="23156AE1"/>
    <w:rsid w:val="23203D54"/>
    <w:rsid w:val="232C6D3B"/>
    <w:rsid w:val="23573B07"/>
    <w:rsid w:val="23651887"/>
    <w:rsid w:val="237A5080"/>
    <w:rsid w:val="23C47F08"/>
    <w:rsid w:val="23EA4858"/>
    <w:rsid w:val="242B56C3"/>
    <w:rsid w:val="24541515"/>
    <w:rsid w:val="245472EC"/>
    <w:rsid w:val="245E112A"/>
    <w:rsid w:val="24844ED6"/>
    <w:rsid w:val="249739F0"/>
    <w:rsid w:val="24A0182F"/>
    <w:rsid w:val="24C125E3"/>
    <w:rsid w:val="24D426C0"/>
    <w:rsid w:val="253A4295"/>
    <w:rsid w:val="254E7DEC"/>
    <w:rsid w:val="25642AE3"/>
    <w:rsid w:val="25A12AA8"/>
    <w:rsid w:val="25B00416"/>
    <w:rsid w:val="25DA3E7C"/>
    <w:rsid w:val="25ED5281"/>
    <w:rsid w:val="260139B0"/>
    <w:rsid w:val="26485BEF"/>
    <w:rsid w:val="268A2E44"/>
    <w:rsid w:val="26A01A67"/>
    <w:rsid w:val="26C964D2"/>
    <w:rsid w:val="26CB4BCF"/>
    <w:rsid w:val="26E41185"/>
    <w:rsid w:val="27182EAE"/>
    <w:rsid w:val="278C57C2"/>
    <w:rsid w:val="279F604A"/>
    <w:rsid w:val="27CD209E"/>
    <w:rsid w:val="27D75D5F"/>
    <w:rsid w:val="27EC2015"/>
    <w:rsid w:val="27FD663A"/>
    <w:rsid w:val="282F3649"/>
    <w:rsid w:val="28671498"/>
    <w:rsid w:val="2867525B"/>
    <w:rsid w:val="28870992"/>
    <w:rsid w:val="28DE0169"/>
    <w:rsid w:val="28EC27BE"/>
    <w:rsid w:val="29027332"/>
    <w:rsid w:val="29291543"/>
    <w:rsid w:val="293D2AF1"/>
    <w:rsid w:val="294C2EF3"/>
    <w:rsid w:val="29AF418C"/>
    <w:rsid w:val="29B82737"/>
    <w:rsid w:val="29C25802"/>
    <w:rsid w:val="29EA5E2B"/>
    <w:rsid w:val="2A1E117F"/>
    <w:rsid w:val="2A256942"/>
    <w:rsid w:val="2A2C03F1"/>
    <w:rsid w:val="2A42145A"/>
    <w:rsid w:val="2A4A5B2F"/>
    <w:rsid w:val="2A507F24"/>
    <w:rsid w:val="2A6524AB"/>
    <w:rsid w:val="2A694783"/>
    <w:rsid w:val="2AEB1427"/>
    <w:rsid w:val="2AF21030"/>
    <w:rsid w:val="2AFB6EC8"/>
    <w:rsid w:val="2B502995"/>
    <w:rsid w:val="2B653D37"/>
    <w:rsid w:val="2B7C16A9"/>
    <w:rsid w:val="2B8208E0"/>
    <w:rsid w:val="2BD4525F"/>
    <w:rsid w:val="2C222DED"/>
    <w:rsid w:val="2C4B2F59"/>
    <w:rsid w:val="2CC60575"/>
    <w:rsid w:val="2DCE75E0"/>
    <w:rsid w:val="2DD42B66"/>
    <w:rsid w:val="2E282FEA"/>
    <w:rsid w:val="2E51714E"/>
    <w:rsid w:val="2E55015C"/>
    <w:rsid w:val="2E6C3A1F"/>
    <w:rsid w:val="2EAE539B"/>
    <w:rsid w:val="2EDE5D0E"/>
    <w:rsid w:val="2EE24F66"/>
    <w:rsid w:val="2F0D0976"/>
    <w:rsid w:val="2F31756D"/>
    <w:rsid w:val="2F484D60"/>
    <w:rsid w:val="2F4F0893"/>
    <w:rsid w:val="2F5F04E9"/>
    <w:rsid w:val="2F6F4666"/>
    <w:rsid w:val="2FB66983"/>
    <w:rsid w:val="2FBF50BE"/>
    <w:rsid w:val="2FF17E91"/>
    <w:rsid w:val="2FFB0089"/>
    <w:rsid w:val="30117A07"/>
    <w:rsid w:val="30572AC8"/>
    <w:rsid w:val="30623EE6"/>
    <w:rsid w:val="308B65C6"/>
    <w:rsid w:val="309C4552"/>
    <w:rsid w:val="30AE29BE"/>
    <w:rsid w:val="30BF1B18"/>
    <w:rsid w:val="30EF50F5"/>
    <w:rsid w:val="31082D35"/>
    <w:rsid w:val="313E58F8"/>
    <w:rsid w:val="31610990"/>
    <w:rsid w:val="316920A0"/>
    <w:rsid w:val="3183290F"/>
    <w:rsid w:val="31873CF9"/>
    <w:rsid w:val="318F4A69"/>
    <w:rsid w:val="319E4D1B"/>
    <w:rsid w:val="31FD29D8"/>
    <w:rsid w:val="320B5E0D"/>
    <w:rsid w:val="32115F82"/>
    <w:rsid w:val="322216EF"/>
    <w:rsid w:val="322616BB"/>
    <w:rsid w:val="32266B2A"/>
    <w:rsid w:val="32473EEF"/>
    <w:rsid w:val="32845A27"/>
    <w:rsid w:val="32863A9A"/>
    <w:rsid w:val="32887275"/>
    <w:rsid w:val="329D1CBA"/>
    <w:rsid w:val="32B50CE2"/>
    <w:rsid w:val="32BF7D90"/>
    <w:rsid w:val="33044E2E"/>
    <w:rsid w:val="33174576"/>
    <w:rsid w:val="332A06C2"/>
    <w:rsid w:val="333E658F"/>
    <w:rsid w:val="337F5601"/>
    <w:rsid w:val="33965978"/>
    <w:rsid w:val="33976537"/>
    <w:rsid w:val="33DD1F07"/>
    <w:rsid w:val="34705FE1"/>
    <w:rsid w:val="34A17F1D"/>
    <w:rsid w:val="34FD5761"/>
    <w:rsid w:val="35553DCE"/>
    <w:rsid w:val="357D6EEA"/>
    <w:rsid w:val="357E1F8E"/>
    <w:rsid w:val="35A3044D"/>
    <w:rsid w:val="35A7655B"/>
    <w:rsid w:val="35C968EC"/>
    <w:rsid w:val="35EE2F18"/>
    <w:rsid w:val="35FD0DCD"/>
    <w:rsid w:val="363C60D0"/>
    <w:rsid w:val="366A3CCE"/>
    <w:rsid w:val="367637D2"/>
    <w:rsid w:val="36A6280F"/>
    <w:rsid w:val="36CA7332"/>
    <w:rsid w:val="36E9427F"/>
    <w:rsid w:val="370B1D4F"/>
    <w:rsid w:val="371E4312"/>
    <w:rsid w:val="37485297"/>
    <w:rsid w:val="375A0AF9"/>
    <w:rsid w:val="37AA23DD"/>
    <w:rsid w:val="37EF4F13"/>
    <w:rsid w:val="38080FA9"/>
    <w:rsid w:val="380B3E91"/>
    <w:rsid w:val="382301CA"/>
    <w:rsid w:val="38316E81"/>
    <w:rsid w:val="383B028F"/>
    <w:rsid w:val="38544C4B"/>
    <w:rsid w:val="38ED5A29"/>
    <w:rsid w:val="39105C46"/>
    <w:rsid w:val="39111341"/>
    <w:rsid w:val="391E1A54"/>
    <w:rsid w:val="39286212"/>
    <w:rsid w:val="392B2479"/>
    <w:rsid w:val="39360E0F"/>
    <w:rsid w:val="394D6B47"/>
    <w:rsid w:val="39520391"/>
    <w:rsid w:val="39A74F2C"/>
    <w:rsid w:val="39B11C58"/>
    <w:rsid w:val="39C0557B"/>
    <w:rsid w:val="3A113BFA"/>
    <w:rsid w:val="3A8E1A37"/>
    <w:rsid w:val="3A9014ED"/>
    <w:rsid w:val="3A9D777E"/>
    <w:rsid w:val="3AE35F6B"/>
    <w:rsid w:val="3AE710BD"/>
    <w:rsid w:val="3B3757F0"/>
    <w:rsid w:val="3B526949"/>
    <w:rsid w:val="3B717CFB"/>
    <w:rsid w:val="3BBF494F"/>
    <w:rsid w:val="3BD3519D"/>
    <w:rsid w:val="3BDD5811"/>
    <w:rsid w:val="3BE03B3E"/>
    <w:rsid w:val="3BF23DCF"/>
    <w:rsid w:val="3C0A2033"/>
    <w:rsid w:val="3C395A62"/>
    <w:rsid w:val="3C9F7BE4"/>
    <w:rsid w:val="3CE14CEF"/>
    <w:rsid w:val="3CF8221C"/>
    <w:rsid w:val="3CF95E3C"/>
    <w:rsid w:val="3D064530"/>
    <w:rsid w:val="3D0C364B"/>
    <w:rsid w:val="3D1C77C7"/>
    <w:rsid w:val="3D2165B3"/>
    <w:rsid w:val="3D2F1292"/>
    <w:rsid w:val="3D351C3D"/>
    <w:rsid w:val="3D4F2F4C"/>
    <w:rsid w:val="3D5575A3"/>
    <w:rsid w:val="3D8F75C1"/>
    <w:rsid w:val="3E946550"/>
    <w:rsid w:val="3F0232D2"/>
    <w:rsid w:val="3F0F5FE6"/>
    <w:rsid w:val="3F35208E"/>
    <w:rsid w:val="3F3A6D58"/>
    <w:rsid w:val="3F840EF1"/>
    <w:rsid w:val="3F9609BC"/>
    <w:rsid w:val="3FF30459"/>
    <w:rsid w:val="401A4939"/>
    <w:rsid w:val="404015F3"/>
    <w:rsid w:val="407346BD"/>
    <w:rsid w:val="407675F7"/>
    <w:rsid w:val="407B7CCA"/>
    <w:rsid w:val="409C0D28"/>
    <w:rsid w:val="40AB3CFF"/>
    <w:rsid w:val="40C035D9"/>
    <w:rsid w:val="40CE64E0"/>
    <w:rsid w:val="40E02EBD"/>
    <w:rsid w:val="411569F9"/>
    <w:rsid w:val="411C76B9"/>
    <w:rsid w:val="417010DA"/>
    <w:rsid w:val="41752CB3"/>
    <w:rsid w:val="41D453BF"/>
    <w:rsid w:val="41DF279D"/>
    <w:rsid w:val="41E808AF"/>
    <w:rsid w:val="425F7A70"/>
    <w:rsid w:val="426879CF"/>
    <w:rsid w:val="426D54A2"/>
    <w:rsid w:val="427F2327"/>
    <w:rsid w:val="42815C2D"/>
    <w:rsid w:val="42831E53"/>
    <w:rsid w:val="42CB423C"/>
    <w:rsid w:val="4326167D"/>
    <w:rsid w:val="43491A67"/>
    <w:rsid w:val="434B6B06"/>
    <w:rsid w:val="435564AF"/>
    <w:rsid w:val="436F1DEA"/>
    <w:rsid w:val="43900485"/>
    <w:rsid w:val="43952E26"/>
    <w:rsid w:val="43C03CF2"/>
    <w:rsid w:val="43C55DD9"/>
    <w:rsid w:val="43D824ED"/>
    <w:rsid w:val="43EE70D1"/>
    <w:rsid w:val="43F87D21"/>
    <w:rsid w:val="44453786"/>
    <w:rsid w:val="44562EB7"/>
    <w:rsid w:val="44737E2B"/>
    <w:rsid w:val="44903EFE"/>
    <w:rsid w:val="44B65F20"/>
    <w:rsid w:val="44F133A1"/>
    <w:rsid w:val="453A5006"/>
    <w:rsid w:val="45704A59"/>
    <w:rsid w:val="45AC642A"/>
    <w:rsid w:val="45C8218A"/>
    <w:rsid w:val="460C1A3E"/>
    <w:rsid w:val="46135EF9"/>
    <w:rsid w:val="4644668D"/>
    <w:rsid w:val="469769C3"/>
    <w:rsid w:val="46C12AB0"/>
    <w:rsid w:val="46D037A2"/>
    <w:rsid w:val="46E171CD"/>
    <w:rsid w:val="46E20CE3"/>
    <w:rsid w:val="47110763"/>
    <w:rsid w:val="47122366"/>
    <w:rsid w:val="47493456"/>
    <w:rsid w:val="47BC7398"/>
    <w:rsid w:val="47FC243F"/>
    <w:rsid w:val="481E7E10"/>
    <w:rsid w:val="483218B0"/>
    <w:rsid w:val="486B7DDB"/>
    <w:rsid w:val="486C52CA"/>
    <w:rsid w:val="487C3E6E"/>
    <w:rsid w:val="48835DD4"/>
    <w:rsid w:val="48B437AA"/>
    <w:rsid w:val="49186E45"/>
    <w:rsid w:val="492C23AA"/>
    <w:rsid w:val="494066A8"/>
    <w:rsid w:val="49711F3C"/>
    <w:rsid w:val="4977185E"/>
    <w:rsid w:val="498F104B"/>
    <w:rsid w:val="49A373F0"/>
    <w:rsid w:val="49B9219F"/>
    <w:rsid w:val="49D0623F"/>
    <w:rsid w:val="49D07880"/>
    <w:rsid w:val="49D3258F"/>
    <w:rsid w:val="49E6351A"/>
    <w:rsid w:val="49F3522F"/>
    <w:rsid w:val="4A082BF6"/>
    <w:rsid w:val="4A2B3C97"/>
    <w:rsid w:val="4A817F0C"/>
    <w:rsid w:val="4AB81428"/>
    <w:rsid w:val="4B351FA6"/>
    <w:rsid w:val="4B462862"/>
    <w:rsid w:val="4B4C1EB7"/>
    <w:rsid w:val="4B4E2A92"/>
    <w:rsid w:val="4B8046C4"/>
    <w:rsid w:val="4B883EDA"/>
    <w:rsid w:val="4BA62384"/>
    <w:rsid w:val="4BDE3737"/>
    <w:rsid w:val="4BED1209"/>
    <w:rsid w:val="4C124B5F"/>
    <w:rsid w:val="4C251183"/>
    <w:rsid w:val="4C28543F"/>
    <w:rsid w:val="4C336469"/>
    <w:rsid w:val="4C390722"/>
    <w:rsid w:val="4C49240B"/>
    <w:rsid w:val="4C6F7764"/>
    <w:rsid w:val="4C922D42"/>
    <w:rsid w:val="4CDA7D29"/>
    <w:rsid w:val="4CE225C1"/>
    <w:rsid w:val="4CFD65B6"/>
    <w:rsid w:val="4D97324E"/>
    <w:rsid w:val="4DD22CDC"/>
    <w:rsid w:val="4E404641"/>
    <w:rsid w:val="4E594B1E"/>
    <w:rsid w:val="4E801DC4"/>
    <w:rsid w:val="4E9677E1"/>
    <w:rsid w:val="4EDB76A7"/>
    <w:rsid w:val="4EE545BF"/>
    <w:rsid w:val="4F1117ED"/>
    <w:rsid w:val="4F3F0625"/>
    <w:rsid w:val="4F530677"/>
    <w:rsid w:val="4F5456DA"/>
    <w:rsid w:val="4F576F6D"/>
    <w:rsid w:val="4F655066"/>
    <w:rsid w:val="4F954B17"/>
    <w:rsid w:val="4FB02B67"/>
    <w:rsid w:val="4FCC5E55"/>
    <w:rsid w:val="4FDC7C21"/>
    <w:rsid w:val="50065E74"/>
    <w:rsid w:val="501248C3"/>
    <w:rsid w:val="507808FB"/>
    <w:rsid w:val="50955076"/>
    <w:rsid w:val="50BC4994"/>
    <w:rsid w:val="51011EEF"/>
    <w:rsid w:val="5101265B"/>
    <w:rsid w:val="51312070"/>
    <w:rsid w:val="51422041"/>
    <w:rsid w:val="52082EE3"/>
    <w:rsid w:val="52413240"/>
    <w:rsid w:val="524E3263"/>
    <w:rsid w:val="52634BA9"/>
    <w:rsid w:val="528A4B90"/>
    <w:rsid w:val="528C1A49"/>
    <w:rsid w:val="52A226A7"/>
    <w:rsid w:val="52BE06C0"/>
    <w:rsid w:val="52ED1608"/>
    <w:rsid w:val="53191BD8"/>
    <w:rsid w:val="53814388"/>
    <w:rsid w:val="53BC0689"/>
    <w:rsid w:val="53F76ADB"/>
    <w:rsid w:val="540D3AB1"/>
    <w:rsid w:val="542F2A48"/>
    <w:rsid w:val="54393507"/>
    <w:rsid w:val="543B5E1C"/>
    <w:rsid w:val="54504943"/>
    <w:rsid w:val="54916D10"/>
    <w:rsid w:val="54D81C00"/>
    <w:rsid w:val="54F5248E"/>
    <w:rsid w:val="54F949E0"/>
    <w:rsid w:val="54FC008E"/>
    <w:rsid w:val="55945DC8"/>
    <w:rsid w:val="55B100A0"/>
    <w:rsid w:val="55B54B79"/>
    <w:rsid w:val="5607632C"/>
    <w:rsid w:val="56311413"/>
    <w:rsid w:val="56446DBC"/>
    <w:rsid w:val="565254FE"/>
    <w:rsid w:val="56BE5F44"/>
    <w:rsid w:val="56C12704"/>
    <w:rsid w:val="56EC180B"/>
    <w:rsid w:val="56EF07B4"/>
    <w:rsid w:val="56FB7E7F"/>
    <w:rsid w:val="56FF01A0"/>
    <w:rsid w:val="577E3F31"/>
    <w:rsid w:val="57937C7D"/>
    <w:rsid w:val="57DA5E22"/>
    <w:rsid w:val="57F14965"/>
    <w:rsid w:val="580E4184"/>
    <w:rsid w:val="581E2211"/>
    <w:rsid w:val="5831611A"/>
    <w:rsid w:val="58631466"/>
    <w:rsid w:val="586563CC"/>
    <w:rsid w:val="586E10C5"/>
    <w:rsid w:val="587773C2"/>
    <w:rsid w:val="58780E6A"/>
    <w:rsid w:val="589A153A"/>
    <w:rsid w:val="589E03CB"/>
    <w:rsid w:val="58C2391C"/>
    <w:rsid w:val="58FA7A21"/>
    <w:rsid w:val="59133FD7"/>
    <w:rsid w:val="59835FE2"/>
    <w:rsid w:val="59DB3FFC"/>
    <w:rsid w:val="59F146EC"/>
    <w:rsid w:val="5A030291"/>
    <w:rsid w:val="5A1C601F"/>
    <w:rsid w:val="5A205A07"/>
    <w:rsid w:val="5A5D7808"/>
    <w:rsid w:val="5A6A61DA"/>
    <w:rsid w:val="5A8E54B6"/>
    <w:rsid w:val="5A9B14BA"/>
    <w:rsid w:val="5AAE2E9F"/>
    <w:rsid w:val="5AD44573"/>
    <w:rsid w:val="5B054E43"/>
    <w:rsid w:val="5B2524E8"/>
    <w:rsid w:val="5B336DC1"/>
    <w:rsid w:val="5B615454"/>
    <w:rsid w:val="5B7E6565"/>
    <w:rsid w:val="5B8002BF"/>
    <w:rsid w:val="5B8E0D1A"/>
    <w:rsid w:val="5BA02D5A"/>
    <w:rsid w:val="5BA13DEC"/>
    <w:rsid w:val="5BB56790"/>
    <w:rsid w:val="5BDD44D1"/>
    <w:rsid w:val="5C2C39B6"/>
    <w:rsid w:val="5C3327CB"/>
    <w:rsid w:val="5C41069D"/>
    <w:rsid w:val="5C43244A"/>
    <w:rsid w:val="5C94306A"/>
    <w:rsid w:val="5CEE0442"/>
    <w:rsid w:val="5CF01983"/>
    <w:rsid w:val="5D025D28"/>
    <w:rsid w:val="5D076B49"/>
    <w:rsid w:val="5D2D0083"/>
    <w:rsid w:val="5D3059EB"/>
    <w:rsid w:val="5D6F2E67"/>
    <w:rsid w:val="5D753BDD"/>
    <w:rsid w:val="5D7C243D"/>
    <w:rsid w:val="5D9D5784"/>
    <w:rsid w:val="5DD63366"/>
    <w:rsid w:val="5E127436"/>
    <w:rsid w:val="5E521A08"/>
    <w:rsid w:val="5E6950B6"/>
    <w:rsid w:val="5EEC55EB"/>
    <w:rsid w:val="5EF93A5F"/>
    <w:rsid w:val="5F331D4D"/>
    <w:rsid w:val="5F4E6C01"/>
    <w:rsid w:val="5FA61183"/>
    <w:rsid w:val="5FB110C7"/>
    <w:rsid w:val="5FB16917"/>
    <w:rsid w:val="5FB43755"/>
    <w:rsid w:val="5FBA1E59"/>
    <w:rsid w:val="60170727"/>
    <w:rsid w:val="604A5592"/>
    <w:rsid w:val="606B38FF"/>
    <w:rsid w:val="60725993"/>
    <w:rsid w:val="609C428B"/>
    <w:rsid w:val="610F7F86"/>
    <w:rsid w:val="612E6B94"/>
    <w:rsid w:val="61533F3E"/>
    <w:rsid w:val="61595164"/>
    <w:rsid w:val="617A2F02"/>
    <w:rsid w:val="61827F98"/>
    <w:rsid w:val="618F53B5"/>
    <w:rsid w:val="61981DDF"/>
    <w:rsid w:val="61A145D6"/>
    <w:rsid w:val="61BF4E97"/>
    <w:rsid w:val="61C57DE1"/>
    <w:rsid w:val="62182C23"/>
    <w:rsid w:val="62291705"/>
    <w:rsid w:val="62B82B47"/>
    <w:rsid w:val="62C02FCE"/>
    <w:rsid w:val="62F66E89"/>
    <w:rsid w:val="63065E88"/>
    <w:rsid w:val="632A44DF"/>
    <w:rsid w:val="63457C77"/>
    <w:rsid w:val="63951279"/>
    <w:rsid w:val="63AD3318"/>
    <w:rsid w:val="63DA46E7"/>
    <w:rsid w:val="63EE4C93"/>
    <w:rsid w:val="641D304B"/>
    <w:rsid w:val="64313426"/>
    <w:rsid w:val="645E6BFB"/>
    <w:rsid w:val="646C4844"/>
    <w:rsid w:val="6485736A"/>
    <w:rsid w:val="649F7424"/>
    <w:rsid w:val="64A44AF2"/>
    <w:rsid w:val="64A45F88"/>
    <w:rsid w:val="64B04489"/>
    <w:rsid w:val="64DA0EDD"/>
    <w:rsid w:val="64E230C3"/>
    <w:rsid w:val="651C35EA"/>
    <w:rsid w:val="65266BC8"/>
    <w:rsid w:val="654051DD"/>
    <w:rsid w:val="654320A3"/>
    <w:rsid w:val="65C93C8D"/>
    <w:rsid w:val="66071398"/>
    <w:rsid w:val="660D03AD"/>
    <w:rsid w:val="667275C4"/>
    <w:rsid w:val="667E7C51"/>
    <w:rsid w:val="669D1AA6"/>
    <w:rsid w:val="669D344E"/>
    <w:rsid w:val="67062764"/>
    <w:rsid w:val="67185A76"/>
    <w:rsid w:val="67254E67"/>
    <w:rsid w:val="67363424"/>
    <w:rsid w:val="676A7EEA"/>
    <w:rsid w:val="679B11C5"/>
    <w:rsid w:val="67B14E54"/>
    <w:rsid w:val="67BD32FF"/>
    <w:rsid w:val="680F7F75"/>
    <w:rsid w:val="684F50CB"/>
    <w:rsid w:val="685D1628"/>
    <w:rsid w:val="6884144B"/>
    <w:rsid w:val="6895408F"/>
    <w:rsid w:val="68AD6A6E"/>
    <w:rsid w:val="68D76B69"/>
    <w:rsid w:val="68E67235"/>
    <w:rsid w:val="69085893"/>
    <w:rsid w:val="693F523F"/>
    <w:rsid w:val="694763CD"/>
    <w:rsid w:val="695556D3"/>
    <w:rsid w:val="696361EF"/>
    <w:rsid w:val="69877F53"/>
    <w:rsid w:val="69AD0F37"/>
    <w:rsid w:val="6A040205"/>
    <w:rsid w:val="6A4B519D"/>
    <w:rsid w:val="6A58552F"/>
    <w:rsid w:val="6AAA3203"/>
    <w:rsid w:val="6AB16CDC"/>
    <w:rsid w:val="6AF41163"/>
    <w:rsid w:val="6B5D3C60"/>
    <w:rsid w:val="6B91219B"/>
    <w:rsid w:val="6B9C5DE7"/>
    <w:rsid w:val="6C215D13"/>
    <w:rsid w:val="6C5B41FF"/>
    <w:rsid w:val="6C661F98"/>
    <w:rsid w:val="6C78263F"/>
    <w:rsid w:val="6C90666E"/>
    <w:rsid w:val="6CC05758"/>
    <w:rsid w:val="6CD14D29"/>
    <w:rsid w:val="6CE066EE"/>
    <w:rsid w:val="6D39575A"/>
    <w:rsid w:val="6D523533"/>
    <w:rsid w:val="6D5426F9"/>
    <w:rsid w:val="6D65286B"/>
    <w:rsid w:val="6D8D2A3A"/>
    <w:rsid w:val="6D987FF5"/>
    <w:rsid w:val="6DBA6C91"/>
    <w:rsid w:val="6DEE28A7"/>
    <w:rsid w:val="6E1F5706"/>
    <w:rsid w:val="6E530807"/>
    <w:rsid w:val="6E951F97"/>
    <w:rsid w:val="6EC91D09"/>
    <w:rsid w:val="6ECC02FE"/>
    <w:rsid w:val="6ED164BB"/>
    <w:rsid w:val="6EFA34BD"/>
    <w:rsid w:val="6F39094C"/>
    <w:rsid w:val="6F3F52DA"/>
    <w:rsid w:val="6F46260D"/>
    <w:rsid w:val="6F773B9A"/>
    <w:rsid w:val="6F977E74"/>
    <w:rsid w:val="6FA56BD3"/>
    <w:rsid w:val="6FC01C5D"/>
    <w:rsid w:val="6FD01A3B"/>
    <w:rsid w:val="6FE964EB"/>
    <w:rsid w:val="702E0977"/>
    <w:rsid w:val="703A44E1"/>
    <w:rsid w:val="70734A3D"/>
    <w:rsid w:val="708F4821"/>
    <w:rsid w:val="70B63564"/>
    <w:rsid w:val="70C01940"/>
    <w:rsid w:val="70DB33D4"/>
    <w:rsid w:val="70F70840"/>
    <w:rsid w:val="71175C72"/>
    <w:rsid w:val="711B7B08"/>
    <w:rsid w:val="7137211B"/>
    <w:rsid w:val="7148627C"/>
    <w:rsid w:val="71A807CD"/>
    <w:rsid w:val="72224BE3"/>
    <w:rsid w:val="72257FC6"/>
    <w:rsid w:val="72404810"/>
    <w:rsid w:val="727271D3"/>
    <w:rsid w:val="72B35F0E"/>
    <w:rsid w:val="72E41155"/>
    <w:rsid w:val="732D171F"/>
    <w:rsid w:val="736A5D5C"/>
    <w:rsid w:val="736E6AE4"/>
    <w:rsid w:val="73971252"/>
    <w:rsid w:val="73B403C1"/>
    <w:rsid w:val="73D52A33"/>
    <w:rsid w:val="73EF483B"/>
    <w:rsid w:val="74290EB1"/>
    <w:rsid w:val="74530DF3"/>
    <w:rsid w:val="74941F2E"/>
    <w:rsid w:val="74DF63EE"/>
    <w:rsid w:val="74EC1A03"/>
    <w:rsid w:val="74FE0F75"/>
    <w:rsid w:val="7560485C"/>
    <w:rsid w:val="75E32DB4"/>
    <w:rsid w:val="75F35BF8"/>
    <w:rsid w:val="75FF009E"/>
    <w:rsid w:val="7610640C"/>
    <w:rsid w:val="761D1706"/>
    <w:rsid w:val="761D7B03"/>
    <w:rsid w:val="76854BB5"/>
    <w:rsid w:val="76CB6070"/>
    <w:rsid w:val="76EB1B57"/>
    <w:rsid w:val="76FD26AF"/>
    <w:rsid w:val="772058DD"/>
    <w:rsid w:val="777A08A3"/>
    <w:rsid w:val="77C91057"/>
    <w:rsid w:val="77DF66EC"/>
    <w:rsid w:val="77FB6083"/>
    <w:rsid w:val="78230D91"/>
    <w:rsid w:val="782903EC"/>
    <w:rsid w:val="78314A79"/>
    <w:rsid w:val="78557320"/>
    <w:rsid w:val="785F7450"/>
    <w:rsid w:val="788C1293"/>
    <w:rsid w:val="78C95DDE"/>
    <w:rsid w:val="78E12D8D"/>
    <w:rsid w:val="790553C2"/>
    <w:rsid w:val="79123F13"/>
    <w:rsid w:val="791C06AE"/>
    <w:rsid w:val="796A351A"/>
    <w:rsid w:val="7999557E"/>
    <w:rsid w:val="79AC5B1C"/>
    <w:rsid w:val="79AE5CC6"/>
    <w:rsid w:val="79B31C17"/>
    <w:rsid w:val="79BD2BCC"/>
    <w:rsid w:val="7A085D7A"/>
    <w:rsid w:val="7A3C1B67"/>
    <w:rsid w:val="7A4A4FED"/>
    <w:rsid w:val="7AAC0A34"/>
    <w:rsid w:val="7ABA70C7"/>
    <w:rsid w:val="7B155BE0"/>
    <w:rsid w:val="7B2B6CA8"/>
    <w:rsid w:val="7B2C1858"/>
    <w:rsid w:val="7B300D46"/>
    <w:rsid w:val="7B5508FD"/>
    <w:rsid w:val="7B750BFC"/>
    <w:rsid w:val="7B8A7161"/>
    <w:rsid w:val="7BB328D2"/>
    <w:rsid w:val="7BBD17D8"/>
    <w:rsid w:val="7C1253AE"/>
    <w:rsid w:val="7C3B5976"/>
    <w:rsid w:val="7C502817"/>
    <w:rsid w:val="7C7D43B6"/>
    <w:rsid w:val="7CEE0B9A"/>
    <w:rsid w:val="7D115CB3"/>
    <w:rsid w:val="7D1417F6"/>
    <w:rsid w:val="7D314C82"/>
    <w:rsid w:val="7D5B5035"/>
    <w:rsid w:val="7D961FA7"/>
    <w:rsid w:val="7DA77B93"/>
    <w:rsid w:val="7E3519E4"/>
    <w:rsid w:val="7E5E2563"/>
    <w:rsid w:val="7EB1534E"/>
    <w:rsid w:val="7EE0090A"/>
    <w:rsid w:val="7F9143B3"/>
    <w:rsid w:val="7FC128CC"/>
    <w:rsid w:val="7FDF3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3"/>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62"/>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5"/>
    <w:qFormat/>
    <w:uiPriority w:val="99"/>
    <w:pPr>
      <w:keepNext/>
      <w:keepLines/>
      <w:spacing w:before="20" w:after="20" w:line="415" w:lineRule="auto"/>
      <w:ind w:firstLine="137" w:firstLineChars="49"/>
      <w:outlineLvl w:val="2"/>
    </w:pPr>
    <w:rPr>
      <w:rFonts w:hAnsi="黑体" w:eastAsia="黑体"/>
      <w:sz w:val="24"/>
      <w:szCs w:val="20"/>
    </w:rPr>
  </w:style>
  <w:style w:type="paragraph" w:styleId="6">
    <w:name w:val="heading 4"/>
    <w:basedOn w:val="1"/>
    <w:next w:val="1"/>
    <w:link w:val="75"/>
    <w:qFormat/>
    <w:uiPriority w:val="99"/>
    <w:pPr>
      <w:keepNext/>
      <w:keepLines/>
      <w:spacing w:before="280" w:after="290" w:line="374" w:lineRule="auto"/>
      <w:outlineLvl w:val="3"/>
    </w:pPr>
    <w:rPr>
      <w:rFonts w:hint="eastAsia" w:ascii="Cambria" w:hAnsi="Cambria"/>
      <w:b/>
      <w:sz w:val="28"/>
      <w:szCs w:val="20"/>
    </w:rPr>
  </w:style>
  <w:style w:type="paragraph" w:styleId="7">
    <w:name w:val="heading 5"/>
    <w:basedOn w:val="1"/>
    <w:next w:val="1"/>
    <w:link w:val="96"/>
    <w:qFormat/>
    <w:uiPriority w:val="9"/>
    <w:pPr>
      <w:keepNext/>
      <w:keepLines/>
      <w:spacing w:before="280" w:after="290" w:line="376" w:lineRule="auto"/>
      <w:outlineLvl w:val="4"/>
    </w:pPr>
    <w:rPr>
      <w:b/>
      <w:bCs/>
      <w:sz w:val="28"/>
      <w:szCs w:val="28"/>
    </w:rPr>
  </w:style>
  <w:style w:type="paragraph" w:styleId="8">
    <w:name w:val="heading 6"/>
    <w:basedOn w:val="1"/>
    <w:next w:val="1"/>
    <w:link w:val="9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6"/>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85"/>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99"/>
    <w:pPr>
      <w:ind w:firstLine="420" w:firstLineChars="100"/>
    </w:pPr>
  </w:style>
  <w:style w:type="paragraph" w:styleId="12">
    <w:name w:val="toc 7"/>
    <w:basedOn w:val="1"/>
    <w:next w:val="1"/>
    <w:qFormat/>
    <w:uiPriority w:val="39"/>
    <w:pPr>
      <w:ind w:left="2520" w:leftChars="1200"/>
    </w:pPr>
  </w:style>
  <w:style w:type="paragraph" w:styleId="13">
    <w:name w:val="Normal Indent"/>
    <w:basedOn w:val="1"/>
    <w:link w:val="70"/>
    <w:qFormat/>
    <w:uiPriority w:val="0"/>
    <w:pPr>
      <w:ind w:firstLine="420"/>
    </w:pPr>
    <w:rPr>
      <w:b/>
      <w:sz w:val="24"/>
      <w:szCs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80"/>
    <w:qFormat/>
    <w:uiPriority w:val="0"/>
    <w:pPr>
      <w:shd w:val="clear" w:color="auto" w:fill="000080"/>
    </w:pPr>
  </w:style>
  <w:style w:type="paragraph" w:styleId="16">
    <w:name w:val="toa heading"/>
    <w:basedOn w:val="1"/>
    <w:next w:val="1"/>
    <w:unhideWhenUsed/>
    <w:qFormat/>
    <w:uiPriority w:val="99"/>
    <w:pPr>
      <w:spacing w:before="120"/>
    </w:pPr>
    <w:rPr>
      <w:rFonts w:ascii="Cambria" w:hAnsi="Cambria"/>
    </w:rPr>
  </w:style>
  <w:style w:type="paragraph" w:styleId="17">
    <w:name w:val="annotation text"/>
    <w:basedOn w:val="1"/>
    <w:link w:val="59"/>
    <w:unhideWhenUsed/>
    <w:qFormat/>
    <w:uiPriority w:val="99"/>
    <w:pPr>
      <w:jc w:val="left"/>
    </w:pPr>
    <w:rPr>
      <w:szCs w:val="20"/>
    </w:rPr>
  </w:style>
  <w:style w:type="paragraph" w:styleId="18">
    <w:name w:val="Body Text 3"/>
    <w:basedOn w:val="1"/>
    <w:link w:val="67"/>
    <w:qFormat/>
    <w:uiPriority w:val="0"/>
    <w:rPr>
      <w:rFonts w:ascii="宋体"/>
      <w:sz w:val="24"/>
      <w:szCs w:val="20"/>
    </w:rPr>
  </w:style>
  <w:style w:type="paragraph" w:styleId="19">
    <w:name w:val="Body Text"/>
    <w:basedOn w:val="1"/>
    <w:next w:val="20"/>
    <w:link w:val="104"/>
    <w:qFormat/>
    <w:uiPriority w:val="0"/>
    <w:pPr>
      <w:spacing w:after="120"/>
    </w:pPr>
  </w:style>
  <w:style w:type="paragraph" w:styleId="20">
    <w:name w:val="Body Text 2"/>
    <w:basedOn w:val="1"/>
    <w:qFormat/>
    <w:uiPriority w:val="99"/>
    <w:pPr>
      <w:spacing w:after="120" w:line="480" w:lineRule="auto"/>
    </w:pPr>
  </w:style>
  <w:style w:type="paragraph" w:styleId="21">
    <w:name w:val="Body Text Indent"/>
    <w:basedOn w:val="1"/>
    <w:link w:val="101"/>
    <w:qFormat/>
    <w:uiPriority w:val="0"/>
    <w:pPr>
      <w:spacing w:line="360" w:lineRule="auto"/>
      <w:ind w:firstLine="420"/>
    </w:pPr>
    <w:rPr>
      <w:rFonts w:ascii="宋体"/>
      <w:sz w:val="24"/>
      <w:szCs w:val="20"/>
    </w:rPr>
  </w:style>
  <w:style w:type="paragraph" w:styleId="22">
    <w:name w:val="toc 5"/>
    <w:basedOn w:val="1"/>
    <w:next w:val="1"/>
    <w:qFormat/>
    <w:uiPriority w:val="39"/>
    <w:pPr>
      <w:ind w:left="1680" w:leftChars="800"/>
    </w:pPr>
  </w:style>
  <w:style w:type="paragraph" w:styleId="23">
    <w:name w:val="toc 3"/>
    <w:basedOn w:val="1"/>
    <w:next w:val="1"/>
    <w:qFormat/>
    <w:uiPriority w:val="39"/>
    <w:pPr>
      <w:ind w:left="840" w:leftChars="400"/>
      <w:jc w:val="left"/>
    </w:pPr>
  </w:style>
  <w:style w:type="paragraph" w:styleId="24">
    <w:name w:val="Plain Text"/>
    <w:basedOn w:val="1"/>
    <w:link w:val="89"/>
    <w:qFormat/>
    <w:uiPriority w:val="0"/>
    <w:rPr>
      <w:rFonts w:ascii="宋体" w:hAnsi="Courier New"/>
      <w:sz w:val="28"/>
      <w:szCs w:val="20"/>
    </w:rPr>
  </w:style>
  <w:style w:type="paragraph" w:styleId="25">
    <w:name w:val="toc 8"/>
    <w:basedOn w:val="1"/>
    <w:next w:val="1"/>
    <w:qFormat/>
    <w:uiPriority w:val="39"/>
    <w:pPr>
      <w:ind w:left="2940" w:leftChars="1400"/>
    </w:pPr>
  </w:style>
  <w:style w:type="paragraph" w:styleId="26">
    <w:name w:val="Date"/>
    <w:basedOn w:val="1"/>
    <w:next w:val="1"/>
    <w:qFormat/>
    <w:uiPriority w:val="0"/>
    <w:pPr>
      <w:ind w:left="100" w:leftChars="2500"/>
    </w:pPr>
  </w:style>
  <w:style w:type="paragraph" w:styleId="27">
    <w:name w:val="Body Text Indent 2"/>
    <w:basedOn w:val="1"/>
    <w:link w:val="72"/>
    <w:qFormat/>
    <w:uiPriority w:val="0"/>
    <w:pPr>
      <w:spacing w:line="420" w:lineRule="exact"/>
      <w:ind w:firstLine="525"/>
    </w:pPr>
    <w:rPr>
      <w:rFonts w:ascii="宋体"/>
      <w:szCs w:val="20"/>
    </w:rPr>
  </w:style>
  <w:style w:type="paragraph" w:styleId="28">
    <w:name w:val="Balloon Text"/>
    <w:basedOn w:val="1"/>
    <w:link w:val="103"/>
    <w:unhideWhenUsed/>
    <w:qFormat/>
    <w:uiPriority w:val="99"/>
    <w:rPr>
      <w:sz w:val="18"/>
      <w:szCs w:val="18"/>
    </w:rPr>
  </w:style>
  <w:style w:type="paragraph" w:styleId="29">
    <w:name w:val="footer"/>
    <w:basedOn w:val="1"/>
    <w:link w:val="99"/>
    <w:qFormat/>
    <w:uiPriority w:val="99"/>
    <w:pPr>
      <w:tabs>
        <w:tab w:val="center" w:pos="4153"/>
        <w:tab w:val="right" w:pos="8306"/>
      </w:tabs>
      <w:snapToGrid w:val="0"/>
      <w:jc w:val="left"/>
    </w:pPr>
    <w:rPr>
      <w:sz w:val="18"/>
      <w:szCs w:val="20"/>
    </w:rPr>
  </w:style>
  <w:style w:type="paragraph" w:styleId="30">
    <w:name w:val="header"/>
    <w:basedOn w:val="1"/>
    <w:link w:val="10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1">
    <w:name w:val="toc 1"/>
    <w:basedOn w:val="1"/>
    <w:next w:val="1"/>
    <w:qFormat/>
    <w:uiPriority w:val="39"/>
    <w:pPr>
      <w:jc w:val="left"/>
    </w:pPr>
  </w:style>
  <w:style w:type="paragraph" w:styleId="32">
    <w:name w:val="toc 4"/>
    <w:basedOn w:val="1"/>
    <w:next w:val="1"/>
    <w:qFormat/>
    <w:uiPriority w:val="39"/>
    <w:pPr>
      <w:ind w:left="1260" w:leftChars="600"/>
    </w:pPr>
  </w:style>
  <w:style w:type="paragraph" w:styleId="33">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60"/>
    <w:qFormat/>
    <w:uiPriority w:val="0"/>
    <w:rPr>
      <w:sz w:val="20"/>
      <w:szCs w:val="20"/>
    </w:rPr>
  </w:style>
  <w:style w:type="paragraph" w:styleId="35">
    <w:name w:val="toc 6"/>
    <w:basedOn w:val="1"/>
    <w:next w:val="1"/>
    <w:qFormat/>
    <w:uiPriority w:val="39"/>
    <w:pPr>
      <w:ind w:left="2100" w:leftChars="1000"/>
    </w:pPr>
  </w:style>
  <w:style w:type="paragraph" w:styleId="36">
    <w:name w:val="Body Text Indent 3"/>
    <w:basedOn w:val="1"/>
    <w:link w:val="63"/>
    <w:qFormat/>
    <w:uiPriority w:val="0"/>
    <w:pPr>
      <w:spacing w:after="120"/>
      <w:ind w:left="420" w:leftChars="200"/>
    </w:pPr>
    <w:rPr>
      <w:sz w:val="16"/>
      <w:szCs w:val="16"/>
    </w:rPr>
  </w:style>
  <w:style w:type="paragraph" w:styleId="37">
    <w:name w:val="table of figures"/>
    <w:basedOn w:val="1"/>
    <w:next w:val="1"/>
    <w:qFormat/>
    <w:uiPriority w:val="0"/>
    <w:pPr>
      <w:ind w:left="200" w:leftChars="200" w:hanging="200" w:hangingChars="200"/>
    </w:pPr>
  </w:style>
  <w:style w:type="paragraph" w:styleId="38">
    <w:name w:val="toc 2"/>
    <w:basedOn w:val="1"/>
    <w:next w:val="1"/>
    <w:qFormat/>
    <w:uiPriority w:val="39"/>
    <w:pPr>
      <w:ind w:left="420" w:leftChars="200"/>
      <w:jc w:val="left"/>
    </w:pPr>
  </w:style>
  <w:style w:type="paragraph" w:styleId="39">
    <w:name w:val="toc 9"/>
    <w:basedOn w:val="1"/>
    <w:next w:val="1"/>
    <w:qFormat/>
    <w:uiPriority w:val="39"/>
    <w:pPr>
      <w:ind w:left="3360" w:leftChars="1600"/>
    </w:pPr>
  </w:style>
  <w:style w:type="paragraph" w:styleId="40">
    <w:name w:val="List Continue 2"/>
    <w:basedOn w:val="1"/>
    <w:qFormat/>
    <w:uiPriority w:val="0"/>
    <w:pPr>
      <w:spacing w:after="120"/>
      <w:ind w:left="840"/>
    </w:p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2">
    <w:name w:val="Title"/>
    <w:basedOn w:val="1"/>
    <w:link w:val="7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7"/>
    <w:next w:val="17"/>
    <w:link w:val="68"/>
    <w:qFormat/>
    <w:uiPriority w:val="0"/>
    <w:rPr>
      <w:b/>
      <w:bCs/>
      <w:szCs w:val="24"/>
    </w:rPr>
  </w:style>
  <w:style w:type="paragraph" w:styleId="44">
    <w:name w:val="Body Text First Indent 2"/>
    <w:basedOn w:val="21"/>
    <w:qFormat/>
    <w:uiPriority w:val="99"/>
    <w:pPr>
      <w:ind w:firstLine="200" w:firstLineChars="200"/>
    </w:p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basedOn w:val="47"/>
    <w:qFormat/>
    <w:uiPriority w:val="0"/>
    <w:rPr>
      <w:b/>
      <w:bCs/>
    </w:rPr>
  </w:style>
  <w:style w:type="character" w:styleId="49">
    <w:name w:val="page number"/>
    <w:basedOn w:val="47"/>
    <w:qFormat/>
    <w:uiPriority w:val="0"/>
  </w:style>
  <w:style w:type="character" w:styleId="50">
    <w:name w:val="FollowedHyperlink"/>
    <w:basedOn w:val="47"/>
    <w:qFormat/>
    <w:uiPriority w:val="0"/>
    <w:rPr>
      <w:color w:val="800080"/>
      <w:u w:val="none"/>
    </w:rPr>
  </w:style>
  <w:style w:type="character" w:styleId="51">
    <w:name w:val="Emphasis"/>
    <w:qFormat/>
    <w:uiPriority w:val="0"/>
    <w:rPr>
      <w:i/>
      <w:iCs/>
    </w:rPr>
  </w:style>
  <w:style w:type="character" w:styleId="52">
    <w:name w:val="Hyperlink"/>
    <w:basedOn w:val="47"/>
    <w:qFormat/>
    <w:uiPriority w:val="99"/>
    <w:rPr>
      <w:color w:val="0000FF"/>
      <w:u w:val="non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Fließtext"/>
    <w:basedOn w:val="1"/>
    <w:qFormat/>
    <w:uiPriority w:val="0"/>
    <w:pPr>
      <w:overflowPunct w:val="0"/>
      <w:autoSpaceDE w:val="0"/>
      <w:autoSpaceDN w:val="0"/>
      <w:adjustRightInd w:val="0"/>
      <w:textAlignment w:val="baseline"/>
    </w:pPr>
    <w:rPr>
      <w:kern w:val="28"/>
      <w:szCs w:val="20"/>
    </w:rPr>
  </w:style>
  <w:style w:type="paragraph" w:customStyle="1" w:styleId="58">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9">
    <w:name w:val="批注文字 Char1"/>
    <w:link w:val="17"/>
    <w:semiHidden/>
    <w:qFormat/>
    <w:uiPriority w:val="99"/>
    <w:rPr>
      <w:kern w:val="2"/>
      <w:sz w:val="21"/>
    </w:rPr>
  </w:style>
  <w:style w:type="character" w:customStyle="1" w:styleId="60">
    <w:name w:val="脚注文本 Char"/>
    <w:link w:val="34"/>
    <w:qFormat/>
    <w:uiPriority w:val="0"/>
    <w:rPr>
      <w:kern w:val="2"/>
    </w:rPr>
  </w:style>
  <w:style w:type="character" w:customStyle="1" w:styleId="61">
    <w:name w:val="Char Char8"/>
    <w:qFormat/>
    <w:uiPriority w:val="0"/>
    <w:rPr>
      <w:rFonts w:ascii="Arial" w:hAnsi="Arial" w:eastAsia="黑体"/>
      <w:b/>
      <w:bCs/>
      <w:kern w:val="2"/>
      <w:sz w:val="32"/>
      <w:szCs w:val="32"/>
      <w:lang w:val="en-US" w:eastAsia="zh-CN" w:bidi="ar-SA"/>
    </w:rPr>
  </w:style>
  <w:style w:type="character" w:customStyle="1" w:styleId="62">
    <w:name w:val="标题 2 Char"/>
    <w:link w:val="4"/>
    <w:qFormat/>
    <w:uiPriority w:val="0"/>
    <w:rPr>
      <w:rFonts w:ascii="Arial" w:hAnsi="Arial" w:eastAsia="黑体"/>
      <w:b/>
      <w:bCs/>
      <w:kern w:val="2"/>
      <w:sz w:val="32"/>
      <w:szCs w:val="32"/>
    </w:rPr>
  </w:style>
  <w:style w:type="character" w:customStyle="1" w:styleId="63">
    <w:name w:val="正文文本缩进 3 Char"/>
    <w:link w:val="36"/>
    <w:qFormat/>
    <w:uiPriority w:val="0"/>
    <w:rPr>
      <w:kern w:val="2"/>
      <w:sz w:val="16"/>
      <w:szCs w:val="16"/>
    </w:rPr>
  </w:style>
  <w:style w:type="character" w:customStyle="1" w:styleId="64">
    <w:name w:val="font01"/>
    <w:basedOn w:val="47"/>
    <w:qFormat/>
    <w:uiPriority w:val="0"/>
    <w:rPr>
      <w:rFonts w:hint="default" w:ascii="font-weight : 400" w:hAnsi="font-weight : 400" w:eastAsia="font-weight : 400" w:cs="font-weight : 400"/>
      <w:color w:val="000000"/>
      <w:sz w:val="22"/>
      <w:szCs w:val="22"/>
      <w:u w:val="none"/>
    </w:rPr>
  </w:style>
  <w:style w:type="character" w:customStyle="1" w:styleId="65">
    <w:name w:val="标题 3 Char1"/>
    <w:link w:val="5"/>
    <w:unhideWhenUsed/>
    <w:qFormat/>
    <w:uiPriority w:val="99"/>
    <w:rPr>
      <w:rFonts w:hint="default" w:hAnsi="黑体" w:eastAsia="黑体"/>
      <w:kern w:val="2"/>
      <w:sz w:val="24"/>
    </w:rPr>
  </w:style>
  <w:style w:type="character" w:customStyle="1" w:styleId="66">
    <w:name w:val="font41"/>
    <w:basedOn w:val="47"/>
    <w:qFormat/>
    <w:uiPriority w:val="0"/>
    <w:rPr>
      <w:rFonts w:ascii="font-weight : 400" w:hAnsi="font-weight : 400" w:eastAsia="font-weight : 400" w:cs="font-weight : 400"/>
      <w:color w:val="FF0000"/>
      <w:sz w:val="22"/>
      <w:szCs w:val="22"/>
      <w:u w:val="none"/>
    </w:rPr>
  </w:style>
  <w:style w:type="character" w:customStyle="1" w:styleId="67">
    <w:name w:val="正文文本 3 Char"/>
    <w:link w:val="18"/>
    <w:qFormat/>
    <w:uiPriority w:val="0"/>
    <w:rPr>
      <w:rFonts w:ascii="宋体"/>
      <w:kern w:val="2"/>
      <w:sz w:val="24"/>
    </w:rPr>
  </w:style>
  <w:style w:type="character" w:customStyle="1" w:styleId="68">
    <w:name w:val="批注主题 Char"/>
    <w:link w:val="43"/>
    <w:qFormat/>
    <w:uiPriority w:val="0"/>
    <w:rPr>
      <w:b/>
      <w:bCs/>
      <w:kern w:val="2"/>
      <w:sz w:val="21"/>
      <w:szCs w:val="24"/>
    </w:rPr>
  </w:style>
  <w:style w:type="character" w:customStyle="1" w:styleId="69">
    <w:name w:val="标题 4 Char"/>
    <w:qFormat/>
    <w:uiPriority w:val="0"/>
    <w:rPr>
      <w:rFonts w:ascii="Arial" w:hAnsi="Arial" w:eastAsia="黑体"/>
      <w:b/>
      <w:bCs/>
      <w:kern w:val="2"/>
      <w:sz w:val="28"/>
      <w:szCs w:val="28"/>
    </w:rPr>
  </w:style>
  <w:style w:type="character" w:customStyle="1" w:styleId="70">
    <w:name w:val="正文缩进 Char"/>
    <w:link w:val="13"/>
    <w:qFormat/>
    <w:uiPriority w:val="0"/>
    <w:rPr>
      <w:b/>
      <w:kern w:val="2"/>
      <w:sz w:val="24"/>
    </w:rPr>
  </w:style>
  <w:style w:type="character" w:customStyle="1" w:styleId="71">
    <w:name w:val="标题 7 Char"/>
    <w:link w:val="9"/>
    <w:qFormat/>
    <w:uiPriority w:val="0"/>
    <w:rPr>
      <w:b/>
      <w:bCs/>
      <w:sz w:val="24"/>
      <w:szCs w:val="24"/>
    </w:rPr>
  </w:style>
  <w:style w:type="character" w:customStyle="1" w:styleId="72">
    <w:name w:val="正文文本缩进 2 Char"/>
    <w:link w:val="27"/>
    <w:qFormat/>
    <w:uiPriority w:val="0"/>
    <w:rPr>
      <w:rFonts w:ascii="宋体"/>
      <w:kern w:val="2"/>
      <w:sz w:val="21"/>
    </w:rPr>
  </w:style>
  <w:style w:type="character" w:customStyle="1" w:styleId="73">
    <w:name w:val="标题 Char"/>
    <w:link w:val="42"/>
    <w:qFormat/>
    <w:uiPriority w:val="0"/>
    <w:rPr>
      <w:rFonts w:ascii="Arial" w:hAnsi="Arial"/>
      <w:b/>
      <w:sz w:val="32"/>
    </w:rPr>
  </w:style>
  <w:style w:type="character" w:customStyle="1" w:styleId="74">
    <w:name w:val="明显参考1"/>
    <w:qFormat/>
    <w:uiPriority w:val="32"/>
    <w:rPr>
      <w:b/>
      <w:bCs/>
      <w:smallCaps/>
      <w:color w:val="C0504D"/>
      <w:spacing w:val="5"/>
      <w:u w:val="single"/>
    </w:rPr>
  </w:style>
  <w:style w:type="character" w:customStyle="1" w:styleId="75">
    <w:name w:val="标题 4 Char1"/>
    <w:link w:val="6"/>
    <w:unhideWhenUsed/>
    <w:qFormat/>
    <w:uiPriority w:val="99"/>
    <w:rPr>
      <w:rFonts w:hint="eastAsia" w:ascii="Cambria" w:hAnsi="Cambria" w:eastAsia="宋体"/>
      <w:b/>
      <w:kern w:val="2"/>
      <w:sz w:val="28"/>
    </w:rPr>
  </w:style>
  <w:style w:type="character" w:customStyle="1" w:styleId="76">
    <w:name w:val="标题 8 Char"/>
    <w:link w:val="10"/>
    <w:qFormat/>
    <w:uiPriority w:val="0"/>
    <w:rPr>
      <w:rFonts w:ascii="Arial" w:hAnsi="Arial" w:eastAsia="黑体"/>
      <w:sz w:val="24"/>
      <w:szCs w:val="24"/>
    </w:rPr>
  </w:style>
  <w:style w:type="character" w:customStyle="1" w:styleId="77">
    <w:name w:val="Char Char"/>
    <w:qFormat/>
    <w:uiPriority w:val="0"/>
    <w:rPr>
      <w:rFonts w:ascii="Arial" w:hAnsi="Arial" w:eastAsia="黑体"/>
      <w:b/>
      <w:bCs/>
      <w:kern w:val="2"/>
      <w:sz w:val="32"/>
      <w:szCs w:val="32"/>
      <w:lang w:val="en-US" w:eastAsia="zh-CN" w:bidi="ar-SA"/>
    </w:rPr>
  </w:style>
  <w:style w:type="character" w:customStyle="1" w:styleId="78">
    <w:name w:val="不明显参考1"/>
    <w:qFormat/>
    <w:uiPriority w:val="31"/>
    <w:rPr>
      <w:smallCaps/>
      <w:color w:val="C0504D"/>
      <w:u w:val="single"/>
    </w:rPr>
  </w:style>
  <w:style w:type="character" w:customStyle="1" w:styleId="79">
    <w:name w:val="font51"/>
    <w:basedOn w:val="47"/>
    <w:qFormat/>
    <w:uiPriority w:val="0"/>
    <w:rPr>
      <w:rFonts w:ascii="font-weight : 700" w:hAnsi="font-weight : 700" w:eastAsia="font-weight : 700" w:cs="font-weight : 700"/>
      <w:color w:val="FF0000"/>
      <w:sz w:val="22"/>
      <w:szCs w:val="22"/>
      <w:u w:val="none"/>
    </w:rPr>
  </w:style>
  <w:style w:type="character" w:customStyle="1" w:styleId="80">
    <w:name w:val="文档结构图 Char"/>
    <w:link w:val="15"/>
    <w:qFormat/>
    <w:uiPriority w:val="0"/>
    <w:rPr>
      <w:kern w:val="2"/>
      <w:sz w:val="21"/>
      <w:szCs w:val="24"/>
      <w:shd w:val="clear" w:color="auto" w:fill="000080"/>
    </w:rPr>
  </w:style>
  <w:style w:type="character" w:customStyle="1" w:styleId="81">
    <w:name w:val="明显强调1"/>
    <w:qFormat/>
    <w:uiPriority w:val="21"/>
    <w:rPr>
      <w:b/>
      <w:bCs/>
      <w:i/>
      <w:iCs/>
      <w:color w:val="4F81BD"/>
    </w:rPr>
  </w:style>
  <w:style w:type="character" w:customStyle="1" w:styleId="82">
    <w:name w:val="书籍标题1"/>
    <w:qFormat/>
    <w:uiPriority w:val="33"/>
    <w:rPr>
      <w:b/>
      <w:bCs/>
      <w:smallCaps/>
      <w:spacing w:val="5"/>
    </w:rPr>
  </w:style>
  <w:style w:type="character" w:customStyle="1" w:styleId="83">
    <w:name w:val="标题 1 Char"/>
    <w:link w:val="3"/>
    <w:qFormat/>
    <w:uiPriority w:val="0"/>
    <w:rPr>
      <w:b/>
      <w:bCs/>
      <w:kern w:val="44"/>
      <w:sz w:val="44"/>
      <w:szCs w:val="44"/>
    </w:rPr>
  </w:style>
  <w:style w:type="character" w:customStyle="1" w:styleId="84">
    <w:name w:val="副标题 Char"/>
    <w:link w:val="33"/>
    <w:qFormat/>
    <w:uiPriority w:val="0"/>
    <w:rPr>
      <w:rFonts w:ascii="Cambria" w:hAnsi="Cambria" w:cs="Times New Roman"/>
      <w:b/>
      <w:bCs/>
      <w:kern w:val="28"/>
      <w:sz w:val="32"/>
      <w:szCs w:val="32"/>
    </w:rPr>
  </w:style>
  <w:style w:type="character" w:customStyle="1" w:styleId="85">
    <w:name w:val="标题 9 Char"/>
    <w:link w:val="11"/>
    <w:qFormat/>
    <w:uiPriority w:val="0"/>
    <w:rPr>
      <w:rFonts w:ascii="Arial" w:hAnsi="Arial" w:eastAsia="黑体"/>
      <w:sz w:val="21"/>
      <w:szCs w:val="21"/>
    </w:rPr>
  </w:style>
  <w:style w:type="character" w:customStyle="1" w:styleId="86">
    <w:name w:val="引用 Char"/>
    <w:link w:val="87"/>
    <w:qFormat/>
    <w:uiPriority w:val="29"/>
    <w:rPr>
      <w:i/>
      <w:iCs/>
      <w:color w:val="000000"/>
      <w:kern w:val="2"/>
      <w:sz w:val="21"/>
      <w:szCs w:val="24"/>
    </w:rPr>
  </w:style>
  <w:style w:type="paragraph" w:customStyle="1" w:styleId="87">
    <w:name w:val="引用1"/>
    <w:basedOn w:val="1"/>
    <w:next w:val="1"/>
    <w:link w:val="86"/>
    <w:qFormat/>
    <w:uiPriority w:val="29"/>
    <w:rPr>
      <w:i/>
      <w:iCs/>
      <w:color w:val="000000"/>
    </w:rPr>
  </w:style>
  <w:style w:type="character" w:customStyle="1" w:styleId="88">
    <w:name w:val="批注文字 Char"/>
    <w:qFormat/>
    <w:uiPriority w:val="0"/>
    <w:rPr>
      <w:rFonts w:eastAsia="宋体"/>
      <w:kern w:val="2"/>
      <w:sz w:val="21"/>
      <w:szCs w:val="24"/>
      <w:lang w:val="en-US" w:eastAsia="zh-CN" w:bidi="ar-SA"/>
    </w:rPr>
  </w:style>
  <w:style w:type="character" w:customStyle="1" w:styleId="89">
    <w:name w:val="纯文本 Char"/>
    <w:link w:val="24"/>
    <w:qFormat/>
    <w:uiPriority w:val="0"/>
    <w:rPr>
      <w:rFonts w:ascii="宋体" w:hAnsi="Courier New"/>
      <w:kern w:val="2"/>
      <w:sz w:val="28"/>
    </w:rPr>
  </w:style>
  <w:style w:type="character" w:customStyle="1" w:styleId="90">
    <w:name w:val="不明显强调1"/>
    <w:qFormat/>
    <w:uiPriority w:val="19"/>
    <w:rPr>
      <w:i/>
      <w:iCs/>
      <w:color w:val="808080"/>
    </w:rPr>
  </w:style>
  <w:style w:type="character" w:customStyle="1" w:styleId="91">
    <w:name w:val="标题 6 Char"/>
    <w:link w:val="8"/>
    <w:qFormat/>
    <w:uiPriority w:val="0"/>
    <w:rPr>
      <w:rFonts w:ascii="Arial" w:hAnsi="Arial" w:eastAsia="黑体"/>
      <w:b/>
      <w:bCs/>
      <w:sz w:val="24"/>
      <w:szCs w:val="24"/>
    </w:rPr>
  </w:style>
  <w:style w:type="character" w:customStyle="1" w:styleId="92">
    <w:name w:val="样式 Char"/>
    <w:link w:val="93"/>
    <w:qFormat/>
    <w:uiPriority w:val="0"/>
    <w:rPr>
      <w:rFonts w:ascii="宋体" w:hAnsi="宋体" w:cs="宋体"/>
      <w:sz w:val="24"/>
      <w:szCs w:val="24"/>
      <w:lang w:val="en-US" w:eastAsia="zh-CN" w:bidi="ar-SA"/>
    </w:rPr>
  </w:style>
  <w:style w:type="paragraph" w:customStyle="1" w:styleId="93">
    <w:name w:val="样式"/>
    <w:link w:val="92"/>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4">
    <w:name w:val="无间隔 Char"/>
    <w:link w:val="95"/>
    <w:qFormat/>
    <w:uiPriority w:val="1"/>
    <w:rPr>
      <w:kern w:val="2"/>
      <w:sz w:val="21"/>
      <w:szCs w:val="24"/>
      <w:lang w:val="en-US" w:eastAsia="zh-CN" w:bidi="ar-SA"/>
    </w:rPr>
  </w:style>
  <w:style w:type="paragraph" w:customStyle="1" w:styleId="95">
    <w:name w:val="无间隔2"/>
    <w:link w:val="94"/>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标题 5 Char"/>
    <w:link w:val="7"/>
    <w:semiHidden/>
    <w:qFormat/>
    <w:uiPriority w:val="9"/>
    <w:rPr>
      <w:b/>
      <w:bCs/>
      <w:kern w:val="2"/>
      <w:sz w:val="28"/>
      <w:szCs w:val="28"/>
    </w:rPr>
  </w:style>
  <w:style w:type="character" w:customStyle="1" w:styleId="97">
    <w:name w:val="明显引用 Char"/>
    <w:link w:val="98"/>
    <w:qFormat/>
    <w:uiPriority w:val="30"/>
    <w:rPr>
      <w:b/>
      <w:bCs/>
      <w:i/>
      <w:iCs/>
      <w:color w:val="4F81BD"/>
      <w:kern w:val="2"/>
      <w:sz w:val="21"/>
      <w:szCs w:val="24"/>
    </w:rPr>
  </w:style>
  <w:style w:type="paragraph" w:customStyle="1" w:styleId="98">
    <w:name w:val="明显引用1"/>
    <w:basedOn w:val="1"/>
    <w:next w:val="1"/>
    <w:link w:val="97"/>
    <w:qFormat/>
    <w:uiPriority w:val="30"/>
    <w:pPr>
      <w:pBdr>
        <w:bottom w:val="single" w:color="4F81BD" w:sz="4" w:space="4"/>
      </w:pBdr>
      <w:spacing w:before="200" w:after="280"/>
      <w:ind w:left="936" w:right="936"/>
    </w:pPr>
    <w:rPr>
      <w:b/>
      <w:bCs/>
      <w:i/>
      <w:iCs/>
      <w:color w:val="4F81BD"/>
    </w:rPr>
  </w:style>
  <w:style w:type="character" w:customStyle="1" w:styleId="99">
    <w:name w:val="页脚 Char1"/>
    <w:link w:val="29"/>
    <w:unhideWhenUsed/>
    <w:qFormat/>
    <w:uiPriority w:val="99"/>
    <w:rPr>
      <w:rFonts w:hint="default" w:eastAsia="宋体"/>
      <w:kern w:val="2"/>
      <w:sz w:val="18"/>
    </w:rPr>
  </w:style>
  <w:style w:type="character" w:customStyle="1" w:styleId="100">
    <w:name w:val="Char Char2"/>
    <w:qFormat/>
    <w:uiPriority w:val="0"/>
    <w:rPr>
      <w:rFonts w:eastAsia="宋体"/>
      <w:kern w:val="2"/>
      <w:sz w:val="21"/>
      <w:szCs w:val="24"/>
      <w:lang w:val="en-US" w:eastAsia="zh-CN" w:bidi="ar-SA"/>
    </w:rPr>
  </w:style>
  <w:style w:type="character" w:customStyle="1" w:styleId="101">
    <w:name w:val="正文文本缩进 Char"/>
    <w:link w:val="21"/>
    <w:qFormat/>
    <w:uiPriority w:val="0"/>
    <w:rPr>
      <w:rFonts w:ascii="宋体"/>
      <w:kern w:val="2"/>
      <w:sz w:val="24"/>
    </w:rPr>
  </w:style>
  <w:style w:type="character" w:customStyle="1" w:styleId="102">
    <w:name w:val="页脚 Char"/>
    <w:qFormat/>
    <w:uiPriority w:val="0"/>
    <w:rPr>
      <w:kern w:val="2"/>
      <w:sz w:val="18"/>
    </w:rPr>
  </w:style>
  <w:style w:type="character" w:customStyle="1" w:styleId="103">
    <w:name w:val="批注框文本 Char"/>
    <w:link w:val="28"/>
    <w:semiHidden/>
    <w:qFormat/>
    <w:uiPriority w:val="99"/>
    <w:rPr>
      <w:kern w:val="2"/>
      <w:sz w:val="18"/>
      <w:szCs w:val="18"/>
    </w:rPr>
  </w:style>
  <w:style w:type="character" w:customStyle="1" w:styleId="104">
    <w:name w:val="正文文本 Char"/>
    <w:link w:val="19"/>
    <w:qFormat/>
    <w:uiPriority w:val="0"/>
    <w:rPr>
      <w:kern w:val="2"/>
      <w:sz w:val="21"/>
      <w:szCs w:val="24"/>
    </w:rPr>
  </w:style>
  <w:style w:type="character" w:customStyle="1" w:styleId="105">
    <w:name w:val="标题 3 Char"/>
    <w:qFormat/>
    <w:uiPriority w:val="0"/>
    <w:rPr>
      <w:rFonts w:ascii="黑体" w:hAnsi="宋体" w:eastAsia="黑体"/>
      <w:bCs/>
      <w:kern w:val="2"/>
      <w:sz w:val="28"/>
      <w:szCs w:val="28"/>
    </w:rPr>
  </w:style>
  <w:style w:type="character" w:customStyle="1" w:styleId="106">
    <w:name w:val="Char Char7"/>
    <w:qFormat/>
    <w:uiPriority w:val="0"/>
    <w:rPr>
      <w:rFonts w:ascii="Arial" w:hAnsi="Arial" w:eastAsia="黑体"/>
      <w:b/>
      <w:bCs/>
      <w:kern w:val="2"/>
      <w:sz w:val="32"/>
      <w:szCs w:val="32"/>
      <w:lang w:val="en-US" w:eastAsia="zh-CN" w:bidi="ar-SA"/>
    </w:rPr>
  </w:style>
  <w:style w:type="character" w:customStyle="1" w:styleId="107">
    <w:name w:val="font161"/>
    <w:qFormat/>
    <w:uiPriority w:val="0"/>
    <w:rPr>
      <w:b/>
      <w:bCs/>
      <w:sz w:val="32"/>
      <w:szCs w:val="32"/>
    </w:rPr>
  </w:style>
  <w:style w:type="character" w:customStyle="1" w:styleId="108">
    <w:name w:val="页眉 Char1"/>
    <w:link w:val="30"/>
    <w:unhideWhenUsed/>
    <w:qFormat/>
    <w:uiPriority w:val="99"/>
    <w:rPr>
      <w:rFonts w:hint="default" w:eastAsia="宋体"/>
      <w:kern w:val="2"/>
      <w:sz w:val="18"/>
      <w:lang w:val="en-US" w:eastAsia="zh-CN"/>
    </w:rPr>
  </w:style>
  <w:style w:type="character" w:customStyle="1" w:styleId="109">
    <w:name w:val="页眉 Char"/>
    <w:qFormat/>
    <w:uiPriority w:val="0"/>
    <w:rPr>
      <w:kern w:val="2"/>
      <w:sz w:val="18"/>
    </w:rPr>
  </w:style>
  <w:style w:type="paragraph" w:customStyle="1" w:styleId="110">
    <w:name w:val="Char Char2 Char Char"/>
    <w:basedOn w:val="15"/>
    <w:unhideWhenUsed/>
    <w:qFormat/>
    <w:uiPriority w:val="99"/>
    <w:rPr>
      <w:rFonts w:hint="eastAsia" w:ascii="Tahoma" w:hAnsi="Tahoma"/>
      <w:sz w:val="24"/>
    </w:rPr>
  </w:style>
  <w:style w:type="paragraph" w:customStyle="1" w:styleId="111">
    <w:name w:val="正文文本缩进1"/>
    <w:basedOn w:val="1"/>
    <w:qFormat/>
    <w:uiPriority w:val="0"/>
    <w:pPr>
      <w:spacing w:line="360" w:lineRule="auto"/>
      <w:ind w:firstLine="420"/>
    </w:pPr>
    <w:rPr>
      <w:rFonts w:ascii="宋体"/>
      <w:sz w:val="24"/>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13">
    <w:name w:val="Personal Name"/>
    <w:basedOn w:val="42"/>
    <w:qFormat/>
    <w:uiPriority w:val="0"/>
    <w:rPr>
      <w:rFonts w:ascii="Impact" w:hAnsi="Impact"/>
      <w:b w:val="0"/>
      <w:caps/>
      <w:color w:val="000000"/>
      <w:sz w:val="28"/>
      <w:szCs w:val="28"/>
    </w:rPr>
  </w:style>
  <w:style w:type="paragraph" w:customStyle="1" w:styleId="114">
    <w:name w:val="表格文字"/>
    <w:basedOn w:val="1"/>
    <w:qFormat/>
    <w:uiPriority w:val="0"/>
    <w:pPr>
      <w:adjustRightInd w:val="0"/>
      <w:spacing w:line="420" w:lineRule="atLeast"/>
      <w:jc w:val="left"/>
      <w:textAlignment w:val="baseline"/>
    </w:pPr>
    <w:rPr>
      <w:kern w:val="0"/>
    </w:rPr>
  </w:style>
  <w:style w:type="paragraph" w:customStyle="1" w:styleId="115">
    <w:name w:val="1"/>
    <w:basedOn w:val="1"/>
    <w:next w:val="1"/>
    <w:qFormat/>
    <w:uiPriority w:val="0"/>
  </w:style>
  <w:style w:type="paragraph" w:customStyle="1" w:styleId="116">
    <w:name w:val="Char"/>
    <w:basedOn w:val="1"/>
    <w:qFormat/>
    <w:uiPriority w:val="0"/>
    <w:pPr>
      <w:tabs>
        <w:tab w:val="left" w:pos="360"/>
      </w:tabs>
    </w:pPr>
    <w:rPr>
      <w:sz w:val="24"/>
    </w:rPr>
  </w:style>
  <w:style w:type="paragraph" w:customStyle="1" w:styleId="117">
    <w:name w:val="样式4"/>
    <w:basedOn w:val="5"/>
    <w:qFormat/>
    <w:uiPriority w:val="0"/>
    <w:rPr>
      <w:rFonts w:eastAsia="Arial"/>
    </w:rPr>
  </w:style>
  <w:style w:type="paragraph" w:customStyle="1" w:styleId="118">
    <w:name w:val="默认段落字体 Para Char Char Char Char Char Char Char Char Char1 Char Char Char Char Char Char Char"/>
    <w:basedOn w:val="15"/>
    <w:qFormat/>
    <w:uiPriority w:val="0"/>
    <w:rPr>
      <w:rFonts w:ascii="Tahoma" w:hAnsi="Tahoma"/>
      <w:sz w:val="24"/>
    </w:rPr>
  </w:style>
  <w:style w:type="paragraph" w:customStyle="1" w:styleId="119">
    <w:name w:val="列出段落1"/>
    <w:basedOn w:val="1"/>
    <w:qFormat/>
    <w:uiPriority w:val="34"/>
    <w:pPr>
      <w:ind w:firstLine="420" w:firstLineChars="200"/>
    </w:pPr>
  </w:style>
  <w:style w:type="paragraph" w:customStyle="1" w:styleId="120">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121">
    <w:name w:val="样式3"/>
    <w:basedOn w:val="5"/>
    <w:qFormat/>
    <w:uiPriority w:val="0"/>
    <w:rPr>
      <w:rFonts w:eastAsia="Arial"/>
    </w:rPr>
  </w:style>
  <w:style w:type="paragraph" w:customStyle="1" w:styleId="122">
    <w:name w:val="样式2"/>
    <w:basedOn w:val="5"/>
    <w:qFormat/>
    <w:uiPriority w:val="0"/>
  </w:style>
  <w:style w:type="paragraph" w:customStyle="1" w:styleId="123">
    <w:name w:val="纯文本1"/>
    <w:basedOn w:val="1"/>
    <w:qFormat/>
    <w:uiPriority w:val="0"/>
    <w:rPr>
      <w:rFonts w:ascii="宋体" w:hAnsi="Courier New"/>
      <w:sz w:val="28"/>
    </w:rPr>
  </w:style>
  <w:style w:type="paragraph" w:customStyle="1" w:styleId="124">
    <w:name w:val="样式 标题 2 + 黑色 行距: 1.5 倍行距"/>
    <w:basedOn w:val="4"/>
    <w:qFormat/>
    <w:uiPriority w:val="0"/>
    <w:pPr>
      <w:spacing w:line="360" w:lineRule="auto"/>
    </w:pPr>
    <w:rPr>
      <w:rFonts w:eastAsia="宋体" w:cs="宋体"/>
      <w:color w:val="000000"/>
    </w:rPr>
  </w:style>
  <w:style w:type="paragraph" w:customStyle="1" w:styleId="125">
    <w:name w:val="样式 标题 3 + (中文) 黑体 小四 非加粗 段前: 7.8 磅 段后: 0 磅 行距: 固定值 20 磅"/>
    <w:basedOn w:val="5"/>
    <w:qFormat/>
    <w:uiPriority w:val="0"/>
    <w:pPr>
      <w:spacing w:before="0" w:after="0" w:line="400" w:lineRule="exact"/>
    </w:pPr>
    <w:rPr>
      <w:rFonts w:cs="宋体"/>
      <w:b/>
      <w:bCs/>
    </w:rPr>
  </w:style>
  <w:style w:type="paragraph" w:customStyle="1" w:styleId="126">
    <w:name w:val="样式1"/>
    <w:basedOn w:val="5"/>
    <w:qFormat/>
    <w:uiPriority w:val="0"/>
    <w:rPr>
      <w:rFonts w:eastAsia="Arial"/>
    </w:rPr>
  </w:style>
  <w:style w:type="paragraph" w:customStyle="1" w:styleId="127">
    <w:name w:val="TOC 标题1"/>
    <w:basedOn w:val="3"/>
    <w:next w:val="1"/>
    <w:qFormat/>
    <w:uiPriority w:val="39"/>
    <w:pPr>
      <w:spacing w:line="578" w:lineRule="auto"/>
      <w:outlineLvl w:val="9"/>
    </w:pPr>
  </w:style>
  <w:style w:type="paragraph" w:customStyle="1" w:styleId="128">
    <w:name w:val="纯文本11"/>
    <w:basedOn w:val="1"/>
    <w:qFormat/>
    <w:uiPriority w:val="0"/>
    <w:pPr>
      <w:adjustRightInd w:val="0"/>
      <w:textAlignment w:val="baseline"/>
    </w:pPr>
    <w:rPr>
      <w:rFonts w:ascii="宋体" w:hAnsi="Courier New" w:eastAsia="楷体_GB2312"/>
      <w:sz w:val="26"/>
    </w:rPr>
  </w:style>
  <w:style w:type="paragraph" w:customStyle="1" w:styleId="129">
    <w:name w:val="表格"/>
    <w:basedOn w:val="1"/>
    <w:qFormat/>
    <w:uiPriority w:val="0"/>
    <w:pPr>
      <w:jc w:val="center"/>
      <w:textAlignment w:val="center"/>
    </w:pPr>
    <w:rPr>
      <w:rFonts w:ascii="华文细黑" w:hAnsi="华文细黑"/>
      <w:kern w:val="0"/>
    </w:rPr>
  </w:style>
  <w:style w:type="paragraph" w:customStyle="1" w:styleId="13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1">
    <w:name w:val="标题 2 + 黑色 行距: 1.5 倍行距"/>
    <w:basedOn w:val="4"/>
    <w:qFormat/>
    <w:uiPriority w:val="0"/>
    <w:pPr>
      <w:spacing w:line="360" w:lineRule="auto"/>
    </w:pPr>
    <w:rPr>
      <w:rFonts w:eastAsia="宋体" w:cs="宋体"/>
      <w:color w:val="000000"/>
      <w:szCs w:val="20"/>
    </w:rPr>
  </w:style>
  <w:style w:type="character" w:customStyle="1" w:styleId="132">
    <w:name w:val="NormalCharacter"/>
    <w:qFormat/>
    <w:uiPriority w:val="0"/>
    <w:rPr>
      <w:rFonts w:ascii="Times New Roman" w:hAnsi="Times New Roman" w:eastAsia="宋体" w:cs="Times New Roman"/>
      <w:kern w:val="2"/>
      <w:sz w:val="21"/>
      <w:szCs w:val="24"/>
      <w:lang w:val="en-US" w:eastAsia="zh-CN" w:bidi="ar-SA"/>
    </w:rPr>
  </w:style>
  <w:style w:type="paragraph" w:customStyle="1" w:styleId="133">
    <w:name w:val="UserStyle_65"/>
    <w:basedOn w:val="1"/>
    <w:qFormat/>
    <w:uiPriority w:val="0"/>
    <w:pPr>
      <w:jc w:val="left"/>
    </w:pPr>
    <w:rPr>
      <w:kern w:val="0"/>
      <w:sz w:val="24"/>
    </w:rPr>
  </w:style>
  <w:style w:type="paragraph" w:customStyle="1" w:styleId="134">
    <w:name w:val="Heading1"/>
    <w:basedOn w:val="1"/>
    <w:next w:val="1"/>
    <w:qFormat/>
    <w:uiPriority w:val="0"/>
    <w:pPr>
      <w:keepNext/>
      <w:keepLines/>
      <w:spacing w:before="340" w:after="330" w:line="576" w:lineRule="auto"/>
      <w:jc w:val="center"/>
    </w:pPr>
    <w:rPr>
      <w:b/>
      <w:bCs/>
      <w:kern w:val="44"/>
      <w:sz w:val="44"/>
      <w:szCs w:val="44"/>
    </w:rPr>
  </w:style>
  <w:style w:type="paragraph" w:customStyle="1" w:styleId="135">
    <w:name w:val="NormalIndent"/>
    <w:basedOn w:val="1"/>
    <w:link w:val="193"/>
    <w:qFormat/>
    <w:uiPriority w:val="0"/>
    <w:pPr>
      <w:ind w:firstLine="420"/>
    </w:pPr>
    <w:rPr>
      <w:b/>
      <w:sz w:val="24"/>
      <w:szCs w:val="20"/>
    </w:rPr>
  </w:style>
  <w:style w:type="paragraph" w:customStyle="1" w:styleId="136">
    <w:name w:val="UserStyle_47"/>
    <w:basedOn w:val="1"/>
    <w:qFormat/>
    <w:uiPriority w:val="0"/>
    <w:rPr>
      <w:rFonts w:ascii="宋体" w:hAnsi="Courier New"/>
      <w:sz w:val="28"/>
    </w:rPr>
  </w:style>
  <w:style w:type="paragraph" w:customStyle="1" w:styleId="137">
    <w:name w:val="PlainText"/>
    <w:basedOn w:val="1"/>
    <w:link w:val="139"/>
    <w:qFormat/>
    <w:uiPriority w:val="0"/>
    <w:rPr>
      <w:rFonts w:ascii="宋体" w:hAnsi="Courier New"/>
      <w:sz w:val="28"/>
      <w:szCs w:val="20"/>
    </w:rPr>
  </w:style>
  <w:style w:type="paragraph" w:customStyle="1" w:styleId="138">
    <w:name w:val="BodyText"/>
    <w:basedOn w:val="1"/>
    <w:link w:val="173"/>
    <w:qFormat/>
    <w:uiPriority w:val="0"/>
    <w:pPr>
      <w:spacing w:after="120"/>
    </w:pPr>
  </w:style>
  <w:style w:type="character" w:customStyle="1" w:styleId="139">
    <w:name w:val="UserStyle_38"/>
    <w:link w:val="137"/>
    <w:qFormat/>
    <w:uiPriority w:val="0"/>
    <w:rPr>
      <w:rFonts w:ascii="宋体" w:hAnsi="Courier New" w:cs="Times New Roman"/>
      <w:kern w:val="2"/>
      <w:sz w:val="28"/>
    </w:rPr>
  </w:style>
  <w:style w:type="paragraph" w:customStyle="1" w:styleId="140">
    <w:name w:val="Heading3"/>
    <w:basedOn w:val="1"/>
    <w:next w:val="1"/>
    <w:qFormat/>
    <w:uiPriority w:val="0"/>
    <w:pPr>
      <w:keepNext/>
      <w:keepLines/>
      <w:widowControl/>
      <w:spacing w:before="20" w:after="20" w:line="415" w:lineRule="auto"/>
      <w:ind w:firstLine="137" w:firstLineChars="49"/>
    </w:pPr>
    <w:rPr>
      <w:rFonts w:hAnsi="黑体" w:eastAsia="黑体"/>
      <w:sz w:val="24"/>
      <w:szCs w:val="20"/>
    </w:rPr>
  </w:style>
  <w:style w:type="paragraph" w:customStyle="1" w:styleId="141">
    <w:name w:val="Heading2"/>
    <w:basedOn w:val="1"/>
    <w:next w:val="1"/>
    <w:qFormat/>
    <w:uiPriority w:val="0"/>
    <w:pPr>
      <w:keepNext/>
      <w:keepLines/>
      <w:widowControl/>
      <w:spacing w:before="260" w:after="260" w:line="415" w:lineRule="auto"/>
    </w:pPr>
    <w:rPr>
      <w:rFonts w:ascii="Arial" w:hAnsi="Arial" w:eastAsia="黑体"/>
      <w:sz w:val="32"/>
      <w:szCs w:val="32"/>
    </w:rPr>
  </w:style>
  <w:style w:type="paragraph" w:customStyle="1" w:styleId="142">
    <w:name w:val="Heading4"/>
    <w:basedOn w:val="1"/>
    <w:next w:val="1"/>
    <w:qFormat/>
    <w:uiPriority w:val="0"/>
    <w:pPr>
      <w:keepNext/>
      <w:keepLines/>
      <w:widowControl/>
      <w:spacing w:before="280" w:after="290" w:line="374" w:lineRule="auto"/>
    </w:pPr>
    <w:rPr>
      <w:rFonts w:ascii="Cambria" w:hAnsi="Cambria"/>
      <w:sz w:val="28"/>
      <w:szCs w:val="20"/>
    </w:rPr>
  </w:style>
  <w:style w:type="paragraph" w:customStyle="1" w:styleId="143">
    <w:name w:val="Heading5"/>
    <w:basedOn w:val="1"/>
    <w:next w:val="1"/>
    <w:qFormat/>
    <w:uiPriority w:val="0"/>
    <w:pPr>
      <w:keepNext/>
      <w:keepLines/>
      <w:widowControl/>
      <w:spacing w:before="280" w:after="290" w:line="376" w:lineRule="auto"/>
    </w:pPr>
    <w:rPr>
      <w:sz w:val="28"/>
      <w:szCs w:val="28"/>
    </w:rPr>
  </w:style>
  <w:style w:type="paragraph" w:customStyle="1" w:styleId="144">
    <w:name w:val="Heading6"/>
    <w:basedOn w:val="1"/>
    <w:next w:val="1"/>
    <w:qFormat/>
    <w:uiPriority w:val="0"/>
    <w:pPr>
      <w:keepNext/>
      <w:keepLines/>
      <w:widowControl/>
      <w:tabs>
        <w:tab w:val="left" w:pos="1440"/>
      </w:tabs>
      <w:spacing w:before="240" w:after="64" w:line="319" w:lineRule="auto"/>
      <w:ind w:left="1152" w:hanging="1152"/>
      <w:jc w:val="left"/>
    </w:pPr>
    <w:rPr>
      <w:rFonts w:ascii="Arial" w:hAnsi="Arial" w:eastAsia="黑体"/>
      <w:kern w:val="0"/>
      <w:sz w:val="24"/>
    </w:rPr>
  </w:style>
  <w:style w:type="paragraph" w:customStyle="1" w:styleId="145">
    <w:name w:val="Heading7"/>
    <w:basedOn w:val="1"/>
    <w:next w:val="1"/>
    <w:qFormat/>
    <w:uiPriority w:val="0"/>
    <w:pPr>
      <w:keepNext/>
      <w:keepLines/>
      <w:widowControl/>
      <w:tabs>
        <w:tab w:val="left" w:pos="2520"/>
      </w:tabs>
      <w:spacing w:before="240" w:after="64" w:line="319" w:lineRule="auto"/>
      <w:ind w:left="1296" w:hanging="1296"/>
      <w:jc w:val="left"/>
    </w:pPr>
    <w:rPr>
      <w:kern w:val="0"/>
      <w:sz w:val="24"/>
    </w:rPr>
  </w:style>
  <w:style w:type="paragraph" w:customStyle="1" w:styleId="146">
    <w:name w:val="Heading8"/>
    <w:basedOn w:val="1"/>
    <w:next w:val="1"/>
    <w:qFormat/>
    <w:uiPriority w:val="0"/>
    <w:pPr>
      <w:keepNext/>
      <w:keepLines/>
      <w:widowControl/>
      <w:tabs>
        <w:tab w:val="left" w:pos="1440"/>
      </w:tabs>
      <w:spacing w:before="240" w:after="64" w:line="319" w:lineRule="auto"/>
      <w:ind w:left="1440" w:hanging="1440"/>
      <w:jc w:val="left"/>
    </w:pPr>
    <w:rPr>
      <w:rFonts w:ascii="Arial" w:hAnsi="Arial" w:eastAsia="黑体"/>
      <w:kern w:val="0"/>
      <w:sz w:val="24"/>
    </w:rPr>
  </w:style>
  <w:style w:type="paragraph" w:customStyle="1" w:styleId="147">
    <w:name w:val="Heading9"/>
    <w:basedOn w:val="1"/>
    <w:next w:val="1"/>
    <w:link w:val="149"/>
    <w:qFormat/>
    <w:uiPriority w:val="0"/>
    <w:pPr>
      <w:keepNext/>
      <w:keepLines/>
      <w:widowControl/>
      <w:tabs>
        <w:tab w:val="left" w:pos="1584"/>
      </w:tabs>
      <w:spacing w:before="240" w:after="64" w:line="319" w:lineRule="auto"/>
      <w:ind w:left="1584" w:hanging="1584"/>
      <w:jc w:val="left"/>
    </w:pPr>
    <w:rPr>
      <w:rFonts w:ascii="Arial" w:hAnsi="Arial" w:eastAsia="黑体"/>
      <w:kern w:val="0"/>
      <w:szCs w:val="21"/>
    </w:rPr>
  </w:style>
  <w:style w:type="table" w:customStyle="1" w:styleId="148">
    <w:name w:val="TableNormal"/>
    <w:semiHidden/>
    <w:qFormat/>
    <w:uiPriority w:val="0"/>
    <w:tblPr>
      <w:tblCellMar>
        <w:top w:w="0" w:type="dxa"/>
        <w:left w:w="0" w:type="dxa"/>
        <w:bottom w:w="0" w:type="dxa"/>
        <w:right w:w="0" w:type="dxa"/>
      </w:tblCellMar>
    </w:tblPr>
  </w:style>
  <w:style w:type="character" w:customStyle="1" w:styleId="149">
    <w:name w:val="UserStyle_0"/>
    <w:link w:val="147"/>
    <w:qFormat/>
    <w:uiPriority w:val="0"/>
    <w:rPr>
      <w:rFonts w:ascii="Arial" w:hAnsi="Arial" w:eastAsia="黑体" w:cs="Times New Roman"/>
      <w:sz w:val="21"/>
      <w:szCs w:val="21"/>
    </w:rPr>
  </w:style>
  <w:style w:type="character" w:customStyle="1" w:styleId="150">
    <w:name w:val="UserStyle_1"/>
    <w:qFormat/>
    <w:uiPriority w:val="0"/>
    <w:rPr>
      <w:rFonts w:ascii="Arial" w:hAnsi="Arial" w:eastAsia="黑体" w:cs="Times New Roman"/>
      <w:b/>
      <w:bCs/>
      <w:kern w:val="2"/>
      <w:sz w:val="32"/>
      <w:szCs w:val="32"/>
    </w:rPr>
  </w:style>
  <w:style w:type="character" w:customStyle="1" w:styleId="151">
    <w:name w:val="UserStyle_2"/>
    <w:qFormat/>
    <w:uiPriority w:val="0"/>
    <w:rPr>
      <w:rFonts w:hAnsi="黑体" w:eastAsia="黑体"/>
      <w:kern w:val="2"/>
      <w:sz w:val="24"/>
    </w:rPr>
  </w:style>
  <w:style w:type="character" w:customStyle="1" w:styleId="152">
    <w:name w:val="UserStyle_3"/>
    <w:qFormat/>
    <w:uiPriority w:val="0"/>
    <w:rPr>
      <w:rFonts w:ascii="Cambria" w:hAnsi="Cambria" w:eastAsia="宋体"/>
      <w:b/>
      <w:kern w:val="2"/>
      <w:sz w:val="28"/>
    </w:rPr>
  </w:style>
  <w:style w:type="character" w:customStyle="1" w:styleId="153">
    <w:name w:val="UserStyle_4"/>
    <w:semiHidden/>
    <w:qFormat/>
    <w:uiPriority w:val="0"/>
    <w:rPr>
      <w:rFonts w:cs="Times New Roman"/>
      <w:b/>
      <w:bCs/>
      <w:kern w:val="2"/>
      <w:sz w:val="28"/>
      <w:szCs w:val="28"/>
    </w:rPr>
  </w:style>
  <w:style w:type="character" w:customStyle="1" w:styleId="154">
    <w:name w:val="UserStyle_5"/>
    <w:qFormat/>
    <w:uiPriority w:val="0"/>
    <w:rPr>
      <w:rFonts w:ascii="Arial" w:hAnsi="Arial" w:eastAsia="黑体" w:cs="Times New Roman"/>
      <w:b/>
      <w:bCs/>
      <w:sz w:val="24"/>
      <w:szCs w:val="24"/>
    </w:rPr>
  </w:style>
  <w:style w:type="character" w:customStyle="1" w:styleId="155">
    <w:name w:val="UserStyle_6"/>
    <w:qFormat/>
    <w:uiPriority w:val="0"/>
    <w:rPr>
      <w:rFonts w:cs="Times New Roman"/>
      <w:b/>
      <w:bCs/>
      <w:sz w:val="24"/>
      <w:szCs w:val="24"/>
    </w:rPr>
  </w:style>
  <w:style w:type="character" w:customStyle="1" w:styleId="156">
    <w:name w:val="UserStyle_7"/>
    <w:qFormat/>
    <w:uiPriority w:val="0"/>
    <w:rPr>
      <w:rFonts w:ascii="Arial" w:hAnsi="Arial" w:eastAsia="黑体"/>
      <w:sz w:val="24"/>
      <w:szCs w:val="24"/>
    </w:rPr>
  </w:style>
  <w:style w:type="character" w:customStyle="1" w:styleId="157">
    <w:name w:val="UserStyle_8"/>
    <w:qFormat/>
    <w:uiPriority w:val="0"/>
    <w:rPr>
      <w:rFonts w:ascii="Arial" w:hAnsi="Arial" w:eastAsia="黑体"/>
      <w:sz w:val="21"/>
      <w:szCs w:val="21"/>
    </w:rPr>
  </w:style>
  <w:style w:type="character" w:customStyle="1" w:styleId="158">
    <w:name w:val="261"/>
    <w:qFormat/>
    <w:uiPriority w:val="0"/>
    <w:rPr>
      <w:rFonts w:cs="Times New Roman"/>
      <w:b/>
      <w:bCs/>
      <w:i/>
      <w:iCs/>
      <w:color w:val="4F81BD"/>
    </w:rPr>
  </w:style>
  <w:style w:type="character" w:customStyle="1" w:styleId="159">
    <w:name w:val="264"/>
    <w:qFormat/>
    <w:uiPriority w:val="0"/>
    <w:rPr>
      <w:rFonts w:cs="Times New Roman"/>
      <w:b/>
      <w:bCs/>
      <w:smallCaps/>
      <w:spacing w:val="5"/>
    </w:rPr>
  </w:style>
  <w:style w:type="character" w:customStyle="1" w:styleId="160">
    <w:name w:val="UserStyle_9"/>
    <w:qFormat/>
    <w:uiPriority w:val="0"/>
    <w:rPr>
      <w:rFonts w:ascii="Arial" w:hAnsi="Arial" w:eastAsia="黑体" w:cs="Times New Roman"/>
      <w:b/>
      <w:bCs/>
      <w:kern w:val="2"/>
      <w:sz w:val="32"/>
      <w:szCs w:val="32"/>
      <w:lang w:val="en-US" w:eastAsia="zh-CN" w:bidi="ar-SA"/>
    </w:rPr>
  </w:style>
  <w:style w:type="character" w:customStyle="1" w:styleId="161">
    <w:name w:val="262"/>
    <w:qFormat/>
    <w:uiPriority w:val="0"/>
    <w:rPr>
      <w:smallCaps/>
      <w:color w:val="C0504D"/>
      <w:u w:val="single"/>
    </w:rPr>
  </w:style>
  <w:style w:type="character" w:customStyle="1" w:styleId="162">
    <w:name w:val="UserStyle_10"/>
    <w:link w:val="163"/>
    <w:qFormat/>
    <w:uiPriority w:val="0"/>
    <w:rPr>
      <w:kern w:val="2"/>
      <w:sz w:val="21"/>
    </w:rPr>
  </w:style>
  <w:style w:type="paragraph" w:customStyle="1" w:styleId="163">
    <w:name w:val="AnnotationText"/>
    <w:basedOn w:val="1"/>
    <w:link w:val="162"/>
    <w:qFormat/>
    <w:uiPriority w:val="0"/>
    <w:pPr>
      <w:widowControl/>
      <w:jc w:val="left"/>
    </w:pPr>
    <w:rPr>
      <w:rFonts w:cstheme="minorBidi"/>
      <w:szCs w:val="20"/>
    </w:rPr>
  </w:style>
  <w:style w:type="character" w:customStyle="1" w:styleId="164">
    <w:name w:val="UserStyle_11"/>
    <w:link w:val="165"/>
    <w:qFormat/>
    <w:uiPriority w:val="0"/>
    <w:rPr>
      <w:i/>
      <w:iCs/>
      <w:color w:val="000000"/>
      <w:kern w:val="2"/>
      <w:sz w:val="21"/>
      <w:szCs w:val="24"/>
    </w:rPr>
  </w:style>
  <w:style w:type="paragraph" w:customStyle="1" w:styleId="165">
    <w:name w:val="180"/>
    <w:basedOn w:val="1"/>
    <w:next w:val="1"/>
    <w:link w:val="164"/>
    <w:qFormat/>
    <w:uiPriority w:val="0"/>
    <w:pPr>
      <w:widowControl/>
    </w:pPr>
    <w:rPr>
      <w:rFonts w:cstheme="minorBidi"/>
      <w:i/>
      <w:iCs/>
      <w:color w:val="000000"/>
    </w:rPr>
  </w:style>
  <w:style w:type="character" w:customStyle="1" w:styleId="166">
    <w:name w:val="UserStyle_12"/>
    <w:link w:val="167"/>
    <w:qFormat/>
    <w:uiPriority w:val="0"/>
    <w:rPr>
      <w:kern w:val="2"/>
    </w:rPr>
  </w:style>
  <w:style w:type="paragraph" w:customStyle="1" w:styleId="167">
    <w:name w:val="FootnoteText"/>
    <w:basedOn w:val="1"/>
    <w:link w:val="166"/>
    <w:qFormat/>
    <w:uiPriority w:val="0"/>
    <w:pPr>
      <w:widowControl/>
    </w:pPr>
    <w:rPr>
      <w:rFonts w:cstheme="minorBidi"/>
      <w:sz w:val="20"/>
      <w:szCs w:val="20"/>
    </w:rPr>
  </w:style>
  <w:style w:type="character" w:customStyle="1" w:styleId="168">
    <w:name w:val="UserStyle_13"/>
    <w:link w:val="169"/>
    <w:qFormat/>
    <w:uiPriority w:val="0"/>
    <w:rPr>
      <w:kern w:val="2"/>
      <w:sz w:val="16"/>
      <w:szCs w:val="16"/>
    </w:rPr>
  </w:style>
  <w:style w:type="paragraph" w:customStyle="1" w:styleId="169">
    <w:name w:val="BodyTextIndent3"/>
    <w:basedOn w:val="1"/>
    <w:link w:val="168"/>
    <w:qFormat/>
    <w:uiPriority w:val="0"/>
    <w:pPr>
      <w:widowControl/>
      <w:spacing w:after="120"/>
      <w:ind w:left="420" w:leftChars="200"/>
    </w:pPr>
    <w:rPr>
      <w:rFonts w:cstheme="minorBidi"/>
      <w:sz w:val="16"/>
      <w:szCs w:val="16"/>
    </w:rPr>
  </w:style>
  <w:style w:type="character" w:customStyle="1" w:styleId="170">
    <w:name w:val="PageNumber"/>
    <w:qFormat/>
    <w:uiPriority w:val="0"/>
  </w:style>
  <w:style w:type="character" w:customStyle="1" w:styleId="171">
    <w:name w:val="UserStyle_14"/>
    <w:qFormat/>
    <w:uiPriority w:val="0"/>
    <w:rPr>
      <w:rFonts w:ascii="Arial" w:hAnsi="Arial" w:eastAsia="黑体" w:cs="Times New Roman"/>
      <w:b/>
      <w:bCs/>
      <w:kern w:val="2"/>
      <w:sz w:val="32"/>
      <w:szCs w:val="32"/>
      <w:lang w:val="en-US" w:eastAsia="zh-CN" w:bidi="ar-SA"/>
    </w:rPr>
  </w:style>
  <w:style w:type="character" w:customStyle="1" w:styleId="172">
    <w:name w:val="UserStyle_15"/>
    <w:qFormat/>
    <w:uiPriority w:val="0"/>
    <w:rPr>
      <w:kern w:val="2"/>
      <w:sz w:val="18"/>
    </w:rPr>
  </w:style>
  <w:style w:type="character" w:customStyle="1" w:styleId="173">
    <w:name w:val="UserStyle_18"/>
    <w:link w:val="138"/>
    <w:qFormat/>
    <w:uiPriority w:val="0"/>
    <w:rPr>
      <w:rFonts w:cs="Times New Roman"/>
      <w:kern w:val="2"/>
      <w:sz w:val="21"/>
      <w:szCs w:val="24"/>
    </w:rPr>
  </w:style>
  <w:style w:type="character" w:customStyle="1" w:styleId="174">
    <w:name w:val="UserStyle_19"/>
    <w:qFormat/>
    <w:uiPriority w:val="0"/>
    <w:rPr>
      <w:rFonts w:eastAsia="宋体"/>
      <w:kern w:val="2"/>
      <w:sz w:val="21"/>
      <w:szCs w:val="24"/>
      <w:lang w:val="en-US" w:eastAsia="zh-CN" w:bidi="ar-SA"/>
    </w:rPr>
  </w:style>
  <w:style w:type="character" w:customStyle="1" w:styleId="175">
    <w:name w:val="UserStyle_20"/>
    <w:link w:val="176"/>
    <w:qFormat/>
    <w:uiPriority w:val="0"/>
    <w:rPr>
      <w:kern w:val="2"/>
      <w:sz w:val="21"/>
      <w:szCs w:val="24"/>
    </w:rPr>
  </w:style>
  <w:style w:type="paragraph" w:customStyle="1" w:styleId="176">
    <w:name w:val="Null"/>
    <w:link w:val="175"/>
    <w:qFormat/>
    <w:uiPriority w:val="0"/>
    <w:pPr>
      <w:jc w:val="both"/>
    </w:pPr>
    <w:rPr>
      <w:rFonts w:ascii="Times New Roman" w:hAnsi="Times New Roman" w:eastAsia="宋体" w:cstheme="minorBidi"/>
      <w:kern w:val="2"/>
      <w:sz w:val="21"/>
      <w:szCs w:val="24"/>
      <w:lang w:val="en-US" w:eastAsia="zh-CN" w:bidi="ar-SA"/>
    </w:rPr>
  </w:style>
  <w:style w:type="character" w:customStyle="1" w:styleId="177">
    <w:name w:val="UserStyle_21"/>
    <w:link w:val="178"/>
    <w:qFormat/>
    <w:uiPriority w:val="0"/>
    <w:rPr>
      <w:rFonts w:ascii="宋体"/>
      <w:kern w:val="2"/>
      <w:sz w:val="24"/>
    </w:rPr>
  </w:style>
  <w:style w:type="paragraph" w:customStyle="1" w:styleId="178">
    <w:name w:val="BodyTextIndent"/>
    <w:basedOn w:val="1"/>
    <w:link w:val="177"/>
    <w:qFormat/>
    <w:uiPriority w:val="0"/>
    <w:pPr>
      <w:widowControl/>
      <w:spacing w:line="360" w:lineRule="auto"/>
      <w:ind w:firstLine="420"/>
    </w:pPr>
    <w:rPr>
      <w:rFonts w:ascii="宋体" w:cstheme="minorBidi"/>
      <w:sz w:val="24"/>
      <w:szCs w:val="20"/>
    </w:rPr>
  </w:style>
  <w:style w:type="character" w:customStyle="1" w:styleId="179">
    <w:name w:val="FootnoteReference"/>
    <w:qFormat/>
    <w:uiPriority w:val="0"/>
    <w:rPr>
      <w:vertAlign w:val="superscript"/>
    </w:rPr>
  </w:style>
  <w:style w:type="character" w:customStyle="1" w:styleId="180">
    <w:name w:val="UserStyle_22"/>
    <w:qFormat/>
    <w:uiPriority w:val="0"/>
    <w:rPr>
      <w:kern w:val="2"/>
      <w:sz w:val="18"/>
    </w:rPr>
  </w:style>
  <w:style w:type="character" w:customStyle="1" w:styleId="181">
    <w:name w:val="263"/>
    <w:qFormat/>
    <w:uiPriority w:val="0"/>
    <w:rPr>
      <w:rFonts w:cs="Times New Roman"/>
      <w:b/>
      <w:bCs/>
      <w:smallCaps/>
      <w:color w:val="C0504D"/>
      <w:spacing w:val="5"/>
      <w:u w:val="single"/>
    </w:rPr>
  </w:style>
  <w:style w:type="character" w:customStyle="1" w:styleId="182">
    <w:name w:val="UserStyle_23"/>
    <w:link w:val="183"/>
    <w:qFormat/>
    <w:uiPriority w:val="0"/>
    <w:rPr>
      <w:rFonts w:ascii="宋体" w:hAnsi="宋体"/>
      <w:sz w:val="24"/>
      <w:szCs w:val="24"/>
    </w:rPr>
  </w:style>
  <w:style w:type="paragraph" w:customStyle="1" w:styleId="183">
    <w:name w:val="UserStyle_24"/>
    <w:link w:val="182"/>
    <w:qFormat/>
    <w:uiPriority w:val="0"/>
    <w:rPr>
      <w:rFonts w:ascii="宋体" w:hAnsi="宋体" w:eastAsia="宋体" w:cstheme="minorBidi"/>
      <w:sz w:val="24"/>
      <w:szCs w:val="24"/>
      <w:lang w:val="en-US" w:eastAsia="zh-CN" w:bidi="ar-SA"/>
    </w:rPr>
  </w:style>
  <w:style w:type="character" w:customStyle="1" w:styleId="184">
    <w:name w:val="260"/>
    <w:qFormat/>
    <w:uiPriority w:val="0"/>
    <w:rPr>
      <w:i/>
      <w:iCs/>
      <w:color w:val="808080"/>
    </w:rPr>
  </w:style>
  <w:style w:type="character" w:customStyle="1" w:styleId="185">
    <w:name w:val="UserStyle_25"/>
    <w:qFormat/>
    <w:uiPriority w:val="0"/>
    <w:rPr>
      <w:rFonts w:eastAsia="宋体"/>
      <w:kern w:val="2"/>
      <w:sz w:val="21"/>
      <w:szCs w:val="24"/>
      <w:lang w:val="en-US" w:eastAsia="zh-CN" w:bidi="ar-SA"/>
    </w:rPr>
  </w:style>
  <w:style w:type="character" w:customStyle="1" w:styleId="186">
    <w:name w:val="AnnotationReference"/>
    <w:qFormat/>
    <w:uiPriority w:val="0"/>
    <w:rPr>
      <w:sz w:val="21"/>
      <w:szCs w:val="21"/>
    </w:rPr>
  </w:style>
  <w:style w:type="character" w:customStyle="1" w:styleId="187">
    <w:name w:val="UserStyle_26"/>
    <w:link w:val="188"/>
    <w:qFormat/>
    <w:uiPriority w:val="0"/>
    <w:rPr>
      <w:rFonts w:cs="Times New Roman"/>
      <w:b/>
      <w:bCs/>
      <w:kern w:val="2"/>
      <w:sz w:val="21"/>
      <w:szCs w:val="24"/>
    </w:rPr>
  </w:style>
  <w:style w:type="paragraph" w:customStyle="1" w:styleId="188">
    <w:name w:val="AnnotationSubject"/>
    <w:basedOn w:val="163"/>
    <w:next w:val="163"/>
    <w:link w:val="187"/>
    <w:qFormat/>
    <w:uiPriority w:val="0"/>
    <w:rPr>
      <w:rFonts w:cs="Times New Roman"/>
      <w:b/>
      <w:bCs/>
      <w:szCs w:val="24"/>
    </w:rPr>
  </w:style>
  <w:style w:type="character" w:customStyle="1" w:styleId="189">
    <w:name w:val="UserStyle_28"/>
    <w:link w:val="190"/>
    <w:qFormat/>
    <w:uiPriority w:val="0"/>
    <w:rPr>
      <w:kern w:val="2"/>
      <w:sz w:val="21"/>
      <w:szCs w:val="24"/>
      <w:shd w:val="clear" w:color="auto" w:fill="000080"/>
    </w:rPr>
  </w:style>
  <w:style w:type="paragraph" w:customStyle="1" w:styleId="190">
    <w:name w:val="NavPane"/>
    <w:basedOn w:val="1"/>
    <w:link w:val="189"/>
    <w:qFormat/>
    <w:uiPriority w:val="0"/>
    <w:pPr>
      <w:widowControl/>
      <w:shd w:val="clear" w:color="auto" w:fill="000080"/>
    </w:pPr>
    <w:rPr>
      <w:rFonts w:cstheme="minorBidi"/>
    </w:rPr>
  </w:style>
  <w:style w:type="character" w:customStyle="1" w:styleId="191">
    <w:name w:val="UserStyle_29"/>
    <w:link w:val="192"/>
    <w:qFormat/>
    <w:uiPriority w:val="0"/>
    <w:rPr>
      <w:rFonts w:ascii="宋体"/>
      <w:kern w:val="2"/>
      <w:sz w:val="21"/>
    </w:rPr>
  </w:style>
  <w:style w:type="paragraph" w:customStyle="1" w:styleId="192">
    <w:name w:val="BodyTextIndent2"/>
    <w:basedOn w:val="1"/>
    <w:link w:val="191"/>
    <w:qFormat/>
    <w:uiPriority w:val="0"/>
    <w:pPr>
      <w:widowControl/>
      <w:spacing w:line="420" w:lineRule="exact"/>
      <w:ind w:firstLine="525"/>
    </w:pPr>
    <w:rPr>
      <w:rFonts w:ascii="宋体" w:cstheme="minorBidi"/>
      <w:szCs w:val="20"/>
    </w:rPr>
  </w:style>
  <w:style w:type="character" w:customStyle="1" w:styleId="193">
    <w:name w:val="UserStyle_30"/>
    <w:link w:val="135"/>
    <w:qFormat/>
    <w:uiPriority w:val="0"/>
    <w:rPr>
      <w:rFonts w:cs="Times New Roman"/>
      <w:b/>
      <w:kern w:val="2"/>
      <w:sz w:val="24"/>
    </w:rPr>
  </w:style>
  <w:style w:type="character" w:customStyle="1" w:styleId="194">
    <w:name w:val="UserStyle_31"/>
    <w:qFormat/>
    <w:uiPriority w:val="0"/>
    <w:rPr>
      <w:rFonts w:ascii="黑体" w:hAnsi="宋体" w:eastAsia="黑体" w:cs="Times New Roman"/>
      <w:bCs/>
      <w:kern w:val="2"/>
      <w:sz w:val="28"/>
      <w:szCs w:val="28"/>
    </w:rPr>
  </w:style>
  <w:style w:type="character" w:customStyle="1" w:styleId="195">
    <w:name w:val="UserStyle_33"/>
    <w:qFormat/>
    <w:uiPriority w:val="0"/>
    <w:rPr>
      <w:rFonts w:ascii="Arial" w:hAnsi="Arial" w:eastAsia="黑体" w:cs="Times New Roman"/>
      <w:b/>
      <w:bCs/>
      <w:kern w:val="2"/>
      <w:sz w:val="28"/>
      <w:szCs w:val="28"/>
    </w:rPr>
  </w:style>
  <w:style w:type="character" w:customStyle="1" w:styleId="196">
    <w:name w:val="UserStyle_34"/>
    <w:link w:val="197"/>
    <w:qFormat/>
    <w:uiPriority w:val="0"/>
    <w:rPr>
      <w:rFonts w:ascii="宋体"/>
      <w:kern w:val="2"/>
      <w:sz w:val="24"/>
    </w:rPr>
  </w:style>
  <w:style w:type="paragraph" w:customStyle="1" w:styleId="197">
    <w:name w:val="BodyText3"/>
    <w:basedOn w:val="1"/>
    <w:link w:val="196"/>
    <w:qFormat/>
    <w:uiPriority w:val="0"/>
    <w:pPr>
      <w:widowControl/>
    </w:pPr>
    <w:rPr>
      <w:rFonts w:ascii="宋体" w:cstheme="minorBidi"/>
      <w:sz w:val="24"/>
      <w:szCs w:val="20"/>
    </w:rPr>
  </w:style>
  <w:style w:type="character" w:customStyle="1" w:styleId="198">
    <w:name w:val="UserStyle_35"/>
    <w:qFormat/>
    <w:uiPriority w:val="0"/>
    <w:rPr>
      <w:rFonts w:cs="Times New Roman"/>
      <w:b/>
      <w:bCs/>
      <w:sz w:val="32"/>
      <w:szCs w:val="32"/>
    </w:rPr>
  </w:style>
  <w:style w:type="character" w:customStyle="1" w:styleId="199">
    <w:name w:val="UserStyle_36"/>
    <w:qFormat/>
    <w:uiPriority w:val="0"/>
    <w:rPr>
      <w:rFonts w:ascii="Arial" w:hAnsi="Arial" w:eastAsia="黑体" w:cs="Times New Roman"/>
      <w:b/>
      <w:bCs/>
      <w:kern w:val="2"/>
      <w:sz w:val="32"/>
      <w:szCs w:val="32"/>
      <w:lang w:val="en-US" w:eastAsia="zh-CN" w:bidi="ar-SA"/>
    </w:rPr>
  </w:style>
  <w:style w:type="character" w:customStyle="1" w:styleId="200">
    <w:name w:val="UserStyle_37"/>
    <w:link w:val="201"/>
    <w:qFormat/>
    <w:uiPriority w:val="0"/>
    <w:rPr>
      <w:rFonts w:cs="Times New Roman"/>
      <w:b/>
      <w:bCs/>
      <w:i/>
      <w:iCs/>
      <w:color w:val="4F81BD"/>
      <w:kern w:val="2"/>
      <w:sz w:val="21"/>
      <w:szCs w:val="24"/>
    </w:rPr>
  </w:style>
  <w:style w:type="paragraph" w:customStyle="1" w:styleId="201">
    <w:name w:val="181"/>
    <w:basedOn w:val="1"/>
    <w:next w:val="1"/>
    <w:link w:val="200"/>
    <w:qFormat/>
    <w:uiPriority w:val="0"/>
    <w:pPr>
      <w:widowControl/>
      <w:pBdr>
        <w:bottom w:val="single" w:color="808080" w:sz="4" w:space="4"/>
      </w:pBdr>
      <w:spacing w:before="200" w:after="280"/>
      <w:ind w:left="936" w:right="936"/>
    </w:pPr>
    <w:rPr>
      <w:b/>
      <w:bCs/>
      <w:i/>
      <w:iCs/>
      <w:color w:val="4F81BD"/>
    </w:rPr>
  </w:style>
  <w:style w:type="character" w:customStyle="1" w:styleId="202">
    <w:name w:val="UserStyle_39"/>
    <w:link w:val="203"/>
    <w:qFormat/>
    <w:uiPriority w:val="0"/>
    <w:rPr>
      <w:kern w:val="2"/>
      <w:sz w:val="18"/>
      <w:szCs w:val="18"/>
    </w:rPr>
  </w:style>
  <w:style w:type="paragraph" w:customStyle="1" w:styleId="203">
    <w:name w:val="Acetate"/>
    <w:basedOn w:val="1"/>
    <w:link w:val="202"/>
    <w:qFormat/>
    <w:uiPriority w:val="0"/>
    <w:pPr>
      <w:widowControl/>
    </w:pPr>
    <w:rPr>
      <w:rFonts w:cstheme="minorBidi"/>
      <w:sz w:val="18"/>
      <w:szCs w:val="18"/>
    </w:rPr>
  </w:style>
  <w:style w:type="paragraph" w:customStyle="1" w:styleId="204">
    <w:name w:val="UserStyle_40"/>
    <w:basedOn w:val="140"/>
    <w:qFormat/>
    <w:uiPriority w:val="0"/>
    <w:pPr>
      <w:spacing w:before="0" w:after="0" w:line="400" w:lineRule="exact"/>
    </w:pPr>
    <w:rPr>
      <w:rFonts w:cs="宋体"/>
    </w:rPr>
  </w:style>
  <w:style w:type="paragraph" w:customStyle="1" w:styleId="205">
    <w:name w:val="UserStyle_41"/>
    <w:basedOn w:val="1"/>
    <w:qFormat/>
    <w:uiPriority w:val="0"/>
    <w:pPr>
      <w:widowControl/>
    </w:pPr>
    <w:rPr>
      <w:rFonts w:ascii="宋体" w:hAnsi="Courier New" w:eastAsia="楷体_GB2312"/>
      <w:sz w:val="26"/>
    </w:rPr>
  </w:style>
  <w:style w:type="paragraph" w:customStyle="1" w:styleId="206">
    <w:name w:val="HtmlNormal"/>
    <w:basedOn w:val="1"/>
    <w:qFormat/>
    <w:uiPriority w:val="0"/>
    <w:pPr>
      <w:widowControl/>
      <w:spacing w:before="100" w:beforeAutospacing="1" w:after="100" w:afterAutospacing="1"/>
      <w:jc w:val="left"/>
    </w:pPr>
    <w:rPr>
      <w:rFonts w:ascii="宋体" w:hAnsi="宋体"/>
      <w:kern w:val="0"/>
      <w:sz w:val="24"/>
    </w:rPr>
  </w:style>
  <w:style w:type="paragraph" w:customStyle="1" w:styleId="207">
    <w:name w:val="UserStyle_42"/>
    <w:basedOn w:val="1"/>
    <w:qFormat/>
    <w:uiPriority w:val="0"/>
    <w:pPr>
      <w:widowControl/>
      <w:jc w:val="center"/>
    </w:pPr>
    <w:rPr>
      <w:rFonts w:ascii="华文细黑" w:hAnsi="华文细黑"/>
      <w:kern w:val="0"/>
    </w:rPr>
  </w:style>
  <w:style w:type="paragraph" w:customStyle="1" w:styleId="208">
    <w:name w:val="UserStyle_43"/>
    <w:basedOn w:val="140"/>
    <w:qFormat/>
    <w:uiPriority w:val="0"/>
    <w:rPr>
      <w:rFonts w:eastAsia="Arial"/>
    </w:rPr>
  </w:style>
  <w:style w:type="paragraph" w:customStyle="1" w:styleId="209">
    <w:name w:val="UserStyle_44"/>
    <w:basedOn w:val="134"/>
    <w:qFormat/>
    <w:uiPriority w:val="0"/>
    <w:pPr>
      <w:widowControl/>
      <w:spacing w:before="120" w:after="120" w:line="400" w:lineRule="exact"/>
    </w:pPr>
    <w:rPr>
      <w:rFonts w:ascii="黑体" w:hAnsi="黑体" w:eastAsia="黑体"/>
      <w:b w:val="0"/>
      <w:bCs w:val="0"/>
      <w:sz w:val="32"/>
      <w:szCs w:val="20"/>
    </w:rPr>
  </w:style>
  <w:style w:type="paragraph" w:customStyle="1" w:styleId="210">
    <w:name w:val="UserStyle_45"/>
    <w:basedOn w:val="1"/>
    <w:qFormat/>
    <w:uiPriority w:val="0"/>
    <w:pPr>
      <w:widowControl/>
      <w:spacing w:line="360" w:lineRule="auto"/>
      <w:ind w:firstLine="420"/>
    </w:pPr>
    <w:rPr>
      <w:rFonts w:ascii="宋体"/>
      <w:sz w:val="24"/>
    </w:rPr>
  </w:style>
  <w:style w:type="paragraph" w:customStyle="1" w:styleId="211">
    <w:name w:val="UserStyle_46"/>
    <w:basedOn w:val="140"/>
    <w:qFormat/>
    <w:uiPriority w:val="0"/>
  </w:style>
  <w:style w:type="paragraph" w:customStyle="1" w:styleId="212">
    <w:name w:val="UserStyle_48"/>
    <w:basedOn w:val="1"/>
    <w:qFormat/>
    <w:uiPriority w:val="0"/>
    <w:pPr>
      <w:widowControl/>
      <w:tabs>
        <w:tab w:val="left" w:pos="360"/>
      </w:tabs>
    </w:pPr>
    <w:rPr>
      <w:sz w:val="24"/>
    </w:rPr>
  </w:style>
  <w:style w:type="paragraph" w:customStyle="1" w:styleId="213">
    <w:name w:val="UserStyle_49"/>
    <w:basedOn w:val="42"/>
    <w:qFormat/>
    <w:uiPriority w:val="0"/>
    <w:pPr>
      <w:widowControl/>
      <w:adjustRightInd/>
      <w:textAlignment w:val="auto"/>
      <w:outlineLvl w:val="9"/>
    </w:pPr>
    <w:rPr>
      <w:rFonts w:ascii="Impact" w:hAnsi="Impact"/>
      <w:b w:val="0"/>
      <w:color w:val="000000"/>
      <w:sz w:val="28"/>
      <w:szCs w:val="28"/>
    </w:rPr>
  </w:style>
  <w:style w:type="paragraph" w:customStyle="1" w:styleId="214">
    <w:name w:val="TOC7"/>
    <w:basedOn w:val="1"/>
    <w:next w:val="1"/>
    <w:qFormat/>
    <w:uiPriority w:val="0"/>
    <w:pPr>
      <w:widowControl/>
      <w:ind w:left="2520" w:leftChars="1200"/>
    </w:pPr>
  </w:style>
  <w:style w:type="paragraph" w:customStyle="1" w:styleId="215">
    <w:name w:val="UserStyle_50"/>
    <w:basedOn w:val="140"/>
    <w:qFormat/>
    <w:uiPriority w:val="0"/>
    <w:rPr>
      <w:rFonts w:eastAsia="Arial"/>
    </w:rPr>
  </w:style>
  <w:style w:type="paragraph" w:customStyle="1" w:styleId="216">
    <w:name w:val="UserStyle_51"/>
    <w:basedOn w:val="1"/>
    <w:qFormat/>
    <w:uiPriority w:val="0"/>
    <w:pPr>
      <w:widowControl/>
      <w:snapToGrid w:val="0"/>
      <w:spacing w:line="320" w:lineRule="exact"/>
      <w:jc w:val="center"/>
    </w:pPr>
    <w:rPr>
      <w:spacing w:val="20"/>
      <w:kern w:val="28"/>
    </w:rPr>
  </w:style>
  <w:style w:type="paragraph" w:customStyle="1" w:styleId="217">
    <w:name w:val="ListContinue2"/>
    <w:basedOn w:val="1"/>
    <w:qFormat/>
    <w:uiPriority w:val="0"/>
    <w:pPr>
      <w:widowControl/>
      <w:spacing w:after="120"/>
      <w:ind w:left="840"/>
    </w:pPr>
  </w:style>
  <w:style w:type="paragraph" w:customStyle="1" w:styleId="218">
    <w:name w:val="179"/>
    <w:basedOn w:val="1"/>
    <w:qFormat/>
    <w:uiPriority w:val="0"/>
    <w:pPr>
      <w:widowControl/>
      <w:ind w:firstLine="420" w:firstLineChars="200"/>
    </w:pPr>
  </w:style>
  <w:style w:type="paragraph" w:customStyle="1" w:styleId="219">
    <w:name w:val="UserStyle_52"/>
    <w:basedOn w:val="140"/>
    <w:qFormat/>
    <w:uiPriority w:val="0"/>
    <w:rPr>
      <w:rFonts w:eastAsia="Arial"/>
    </w:rPr>
  </w:style>
  <w:style w:type="paragraph" w:customStyle="1" w:styleId="220">
    <w:name w:val="TOC3"/>
    <w:basedOn w:val="1"/>
    <w:next w:val="1"/>
    <w:qFormat/>
    <w:uiPriority w:val="0"/>
    <w:pPr>
      <w:widowControl/>
      <w:ind w:left="840" w:leftChars="400"/>
      <w:jc w:val="left"/>
    </w:pPr>
  </w:style>
  <w:style w:type="paragraph" w:customStyle="1" w:styleId="221">
    <w:name w:val="TOC5"/>
    <w:basedOn w:val="1"/>
    <w:next w:val="1"/>
    <w:qFormat/>
    <w:uiPriority w:val="0"/>
    <w:pPr>
      <w:widowControl/>
      <w:ind w:left="1680" w:leftChars="800"/>
    </w:pPr>
  </w:style>
  <w:style w:type="paragraph" w:customStyle="1" w:styleId="222">
    <w:name w:val="TOC4"/>
    <w:basedOn w:val="1"/>
    <w:next w:val="1"/>
    <w:qFormat/>
    <w:uiPriority w:val="0"/>
    <w:pPr>
      <w:widowControl/>
      <w:ind w:left="1260" w:leftChars="600"/>
    </w:pPr>
  </w:style>
  <w:style w:type="paragraph" w:customStyle="1" w:styleId="223">
    <w:name w:val="TOC8"/>
    <w:basedOn w:val="1"/>
    <w:next w:val="1"/>
    <w:qFormat/>
    <w:uiPriority w:val="0"/>
    <w:pPr>
      <w:widowControl/>
      <w:ind w:left="2940" w:leftChars="1400"/>
    </w:pPr>
  </w:style>
  <w:style w:type="paragraph" w:customStyle="1" w:styleId="224">
    <w:name w:val="TOC9"/>
    <w:basedOn w:val="1"/>
    <w:next w:val="1"/>
    <w:qFormat/>
    <w:uiPriority w:val="0"/>
    <w:pPr>
      <w:widowControl/>
      <w:ind w:left="3360" w:leftChars="1600"/>
    </w:pPr>
  </w:style>
  <w:style w:type="paragraph" w:customStyle="1" w:styleId="225">
    <w:name w:val="TOC1"/>
    <w:basedOn w:val="1"/>
    <w:next w:val="1"/>
    <w:qFormat/>
    <w:uiPriority w:val="0"/>
    <w:pPr>
      <w:widowControl/>
      <w:jc w:val="left"/>
    </w:pPr>
  </w:style>
  <w:style w:type="paragraph" w:customStyle="1" w:styleId="226">
    <w:name w:val="TOC2"/>
    <w:basedOn w:val="1"/>
    <w:next w:val="1"/>
    <w:qFormat/>
    <w:uiPriority w:val="0"/>
    <w:pPr>
      <w:widowControl/>
      <w:ind w:left="420" w:leftChars="200"/>
      <w:jc w:val="left"/>
    </w:pPr>
  </w:style>
  <w:style w:type="paragraph" w:customStyle="1" w:styleId="227">
    <w:name w:val="TOC6"/>
    <w:basedOn w:val="1"/>
    <w:next w:val="1"/>
    <w:qFormat/>
    <w:uiPriority w:val="0"/>
    <w:pPr>
      <w:widowControl/>
      <w:ind w:left="2100" w:leftChars="1000"/>
    </w:pPr>
  </w:style>
  <w:style w:type="paragraph" w:customStyle="1" w:styleId="228">
    <w:name w:val="ToCaption"/>
    <w:basedOn w:val="1"/>
    <w:next w:val="1"/>
    <w:qFormat/>
    <w:uiPriority w:val="0"/>
    <w:pPr>
      <w:widowControl/>
      <w:ind w:left="200" w:leftChars="200" w:hanging="200" w:hangingChars="200"/>
    </w:pPr>
  </w:style>
  <w:style w:type="paragraph" w:customStyle="1" w:styleId="229">
    <w:name w:val="UserStyle_53"/>
    <w:basedOn w:val="141"/>
    <w:qFormat/>
    <w:uiPriority w:val="0"/>
    <w:pPr>
      <w:spacing w:before="100" w:after="0" w:line="400" w:lineRule="exact"/>
    </w:pPr>
    <w:rPr>
      <w:rFonts w:ascii="Times New Roman" w:hAnsi="Times New Roman"/>
      <w:sz w:val="28"/>
      <w:szCs w:val="20"/>
    </w:rPr>
  </w:style>
  <w:style w:type="paragraph" w:customStyle="1" w:styleId="230">
    <w:name w:val="266"/>
    <w:basedOn w:val="134"/>
    <w:next w:val="1"/>
    <w:qFormat/>
    <w:uiPriority w:val="0"/>
    <w:pPr>
      <w:widowControl/>
      <w:spacing w:line="578" w:lineRule="auto"/>
    </w:pPr>
    <w:rPr>
      <w:b w:val="0"/>
      <w:bCs w:val="0"/>
    </w:rPr>
  </w:style>
  <w:style w:type="paragraph" w:customStyle="1" w:styleId="231">
    <w:name w:val="UserStyle_54"/>
    <w:basedOn w:val="1"/>
    <w:next w:val="1"/>
    <w:qFormat/>
    <w:uiPriority w:val="0"/>
    <w:pPr>
      <w:widowControl/>
    </w:pPr>
  </w:style>
  <w:style w:type="paragraph" w:customStyle="1" w:styleId="232">
    <w:name w:val="UserStyle_55"/>
    <w:basedOn w:val="1"/>
    <w:qFormat/>
    <w:uiPriority w:val="0"/>
    <w:pPr>
      <w:widowControl/>
      <w:spacing w:line="420" w:lineRule="atLeast"/>
      <w:jc w:val="left"/>
    </w:pPr>
    <w:rPr>
      <w:kern w:val="0"/>
    </w:rPr>
  </w:style>
  <w:style w:type="paragraph" w:customStyle="1" w:styleId="233">
    <w:name w:val="UserStyle_56"/>
    <w:basedOn w:val="190"/>
    <w:qFormat/>
    <w:uiPriority w:val="0"/>
    <w:rPr>
      <w:rFonts w:ascii="Tahoma" w:hAnsi="Tahoma"/>
      <w:sz w:val="24"/>
    </w:rPr>
  </w:style>
  <w:style w:type="paragraph" w:customStyle="1" w:styleId="234">
    <w:name w:val="UserStyle_57"/>
    <w:basedOn w:val="141"/>
    <w:qFormat/>
    <w:uiPriority w:val="0"/>
    <w:pPr>
      <w:spacing w:line="360" w:lineRule="auto"/>
    </w:pPr>
    <w:rPr>
      <w:rFonts w:eastAsia="宋体" w:cs="宋体"/>
      <w:color w:val="000000"/>
    </w:rPr>
  </w:style>
  <w:style w:type="paragraph" w:customStyle="1" w:styleId="235">
    <w:name w:val="UserStyle_58"/>
    <w:basedOn w:val="141"/>
    <w:qFormat/>
    <w:uiPriority w:val="0"/>
    <w:pPr>
      <w:spacing w:line="360" w:lineRule="auto"/>
    </w:pPr>
    <w:rPr>
      <w:rFonts w:eastAsia="宋体" w:cs="宋体"/>
      <w:color w:val="000000"/>
      <w:szCs w:val="20"/>
    </w:rPr>
  </w:style>
  <w:style w:type="paragraph" w:customStyle="1" w:styleId="236">
    <w:name w:val="UserStyle_59"/>
    <w:qFormat/>
    <w:uiPriority w:val="0"/>
    <w:rPr>
      <w:rFonts w:ascii="仿宋_GB2312" w:hAnsi="Times New Roman" w:eastAsia="仿宋_GB2312" w:cs="Times New Roman"/>
      <w:color w:val="000000"/>
      <w:sz w:val="24"/>
      <w:szCs w:val="24"/>
      <w:lang w:val="en-US" w:eastAsia="zh-CN" w:bidi="ar-SA"/>
    </w:rPr>
  </w:style>
  <w:style w:type="paragraph" w:customStyle="1" w:styleId="237">
    <w:name w:val="UserStyle_60"/>
    <w:basedOn w:val="190"/>
    <w:qFormat/>
    <w:uiPriority w:val="0"/>
    <w:rPr>
      <w:rFonts w:ascii="Tahoma" w:hAnsi="Tahoma"/>
      <w:sz w:val="24"/>
    </w:rPr>
  </w:style>
  <w:style w:type="character" w:customStyle="1" w:styleId="238">
    <w:name w:val="UserStyle_61"/>
    <w:qFormat/>
    <w:uiPriority w:val="0"/>
    <w:rPr>
      <w:rFonts w:hAnsi="黑体" w:eastAsia="黑体"/>
      <w:kern w:val="2"/>
      <w:sz w:val="24"/>
    </w:rPr>
  </w:style>
  <w:style w:type="table" w:customStyle="1" w:styleId="239">
    <w:name w:val="TableGrid"/>
    <w:basedOn w:val="148"/>
    <w:qFormat/>
    <w:uiPriority w:val="0"/>
    <w:tblPr>
      <w:tblCellMar>
        <w:top w:w="0" w:type="dxa"/>
        <w:left w:w="0" w:type="dxa"/>
        <w:bottom w:w="0" w:type="dxa"/>
        <w:right w:w="0" w:type="dxa"/>
      </w:tblCellMar>
    </w:tblPr>
  </w:style>
  <w:style w:type="paragraph" w:customStyle="1" w:styleId="240">
    <w:name w:val="UserStyle_62"/>
    <w:basedOn w:val="241"/>
    <w:qFormat/>
    <w:uiPriority w:val="0"/>
    <w:pPr>
      <w:numPr>
        <w:numId w:val="0"/>
      </w:numPr>
      <w:spacing w:line="360" w:lineRule="auto"/>
      <w:ind w:right="-33" w:firstLine="545" w:firstLineChars="227"/>
      <w:jc w:val="left"/>
    </w:pPr>
    <w:rPr>
      <w:sz w:val="24"/>
    </w:rPr>
  </w:style>
  <w:style w:type="paragraph" w:customStyle="1" w:styleId="241">
    <w:name w:val="ListNumber"/>
    <w:basedOn w:val="1"/>
    <w:semiHidden/>
    <w:qFormat/>
    <w:uiPriority w:val="0"/>
    <w:pPr>
      <w:numPr>
        <w:ilvl w:val="0"/>
        <w:numId w:val="1"/>
      </w:numPr>
      <w:contextualSpacing/>
    </w:pPr>
  </w:style>
  <w:style w:type="paragraph" w:customStyle="1" w:styleId="242">
    <w:name w:val="UserStyle_63"/>
    <w:basedOn w:val="1"/>
    <w:link w:val="243"/>
    <w:qFormat/>
    <w:uiPriority w:val="0"/>
    <w:pPr>
      <w:widowControl/>
      <w:spacing w:line="460" w:lineRule="exact"/>
      <w:ind w:firstLine="480" w:firstLineChars="200"/>
    </w:pPr>
    <w:rPr>
      <w:kern w:val="0"/>
      <w:sz w:val="24"/>
      <w:szCs w:val="20"/>
    </w:rPr>
  </w:style>
  <w:style w:type="character" w:customStyle="1" w:styleId="243">
    <w:name w:val="UserStyle_64"/>
    <w:link w:val="242"/>
    <w:qFormat/>
    <w:uiPriority w:val="0"/>
    <w:rPr>
      <w:rFonts w:cs="Times New Roman"/>
      <w:sz w:val="24"/>
    </w:rPr>
  </w:style>
  <w:style w:type="character" w:customStyle="1" w:styleId="244">
    <w:name w:val="UserStyle_66"/>
    <w:semiHidden/>
    <w:qFormat/>
    <w:uiPriority w:val="0"/>
    <w:rPr>
      <w:color w:val="808080"/>
      <w:shd w:val="clear" w:color="auto" w:fill="E6E6E6"/>
    </w:rPr>
  </w:style>
  <w:style w:type="paragraph" w:customStyle="1" w:styleId="245">
    <w:name w:val="Table Paragraph"/>
    <w:basedOn w:val="1"/>
    <w:qFormat/>
    <w:uiPriority w:val="1"/>
  </w:style>
  <w:style w:type="character" w:customStyle="1" w:styleId="246">
    <w:name w:val="font141"/>
    <w:basedOn w:val="47"/>
    <w:qFormat/>
    <w:uiPriority w:val="0"/>
    <w:rPr>
      <w:rFonts w:hint="eastAsia" w:ascii="宋体" w:hAnsi="宋体" w:eastAsia="宋体" w:cs="宋体"/>
      <w:color w:val="000000"/>
      <w:sz w:val="20"/>
      <w:szCs w:val="20"/>
      <w:u w:val="none"/>
    </w:rPr>
  </w:style>
  <w:style w:type="character" w:customStyle="1" w:styleId="247">
    <w:name w:val="font171"/>
    <w:basedOn w:val="47"/>
    <w:qFormat/>
    <w:uiPriority w:val="0"/>
    <w:rPr>
      <w:rFonts w:hint="default" w:ascii="Arial" w:hAnsi="Arial" w:cs="Arial"/>
      <w:color w:val="000000"/>
      <w:sz w:val="20"/>
      <w:szCs w:val="20"/>
      <w:u w:val="none"/>
    </w:rPr>
  </w:style>
  <w:style w:type="character" w:customStyle="1" w:styleId="248">
    <w:name w:val="font11"/>
    <w:basedOn w:val="47"/>
    <w:qFormat/>
    <w:uiPriority w:val="0"/>
    <w:rPr>
      <w:rFonts w:hint="eastAsia" w:ascii="宋体" w:hAnsi="宋体" w:eastAsia="宋体" w:cs="宋体"/>
      <w:color w:val="000000"/>
      <w:sz w:val="20"/>
      <w:szCs w:val="20"/>
      <w:u w:val="none"/>
    </w:rPr>
  </w:style>
  <w:style w:type="character" w:customStyle="1" w:styleId="249">
    <w:name w:val="font31"/>
    <w:basedOn w:val="47"/>
    <w:qFormat/>
    <w:uiPriority w:val="0"/>
    <w:rPr>
      <w:rFonts w:hint="eastAsia" w:ascii="宋体" w:hAnsi="宋体" w:eastAsia="宋体" w:cs="宋体"/>
      <w:color w:val="000000"/>
      <w:sz w:val="21"/>
      <w:szCs w:val="21"/>
      <w:u w:val="none"/>
    </w:rPr>
  </w:style>
  <w:style w:type="character" w:customStyle="1" w:styleId="250">
    <w:name w:val="font21"/>
    <w:basedOn w:val="47"/>
    <w:qFormat/>
    <w:uiPriority w:val="0"/>
    <w:rPr>
      <w:rFonts w:hint="eastAsia" w:ascii="宋体" w:hAnsi="宋体" w:eastAsia="宋体" w:cs="宋体"/>
      <w:color w:val="000000"/>
      <w:sz w:val="21"/>
      <w:szCs w:val="21"/>
      <w:u w:val="none"/>
    </w:rPr>
  </w:style>
  <w:style w:type="character" w:customStyle="1" w:styleId="251">
    <w:name w:val="font112"/>
    <w:basedOn w:val="47"/>
    <w:qFormat/>
    <w:uiPriority w:val="0"/>
    <w:rPr>
      <w:rFonts w:ascii="Symbol" w:hAnsi="Symbol" w:cs="Symbol"/>
      <w:color w:val="000000"/>
      <w:sz w:val="18"/>
      <w:szCs w:val="18"/>
      <w:u w:val="none"/>
    </w:rPr>
  </w:style>
  <w:style w:type="paragraph" w:customStyle="1" w:styleId="252">
    <w:name w:val="WPSOffice手动目录 1"/>
    <w:qFormat/>
    <w:uiPriority w:val="0"/>
    <w:rPr>
      <w:rFonts w:ascii="Times New Roman" w:hAnsi="Times New Roman" w:eastAsia="宋体" w:cs="Times New Roman"/>
      <w:lang w:val="en-US" w:eastAsia="zh-CN" w:bidi="ar-SA"/>
    </w:rPr>
  </w:style>
  <w:style w:type="table" w:customStyle="1" w:styleId="253">
    <w:name w:val="Table Normal"/>
    <w:semiHidden/>
    <w:unhideWhenUsed/>
    <w:qFormat/>
    <w:uiPriority w:val="0"/>
    <w:tblPr>
      <w:tblCellMar>
        <w:top w:w="0" w:type="dxa"/>
        <w:left w:w="0" w:type="dxa"/>
        <w:bottom w:w="0" w:type="dxa"/>
        <w:right w:w="0" w:type="dxa"/>
      </w:tblCellMar>
    </w:tblPr>
  </w:style>
  <w:style w:type="paragraph" w:customStyle="1" w:styleId="254">
    <w:name w:val="普通(Web)4"/>
    <w:basedOn w:val="1"/>
    <w:qFormat/>
    <w:uiPriority w:val="0"/>
    <w:pPr>
      <w:widowControl/>
      <w:spacing w:before="100" w:beforeAutospacing="1" w:after="100" w:afterAutospacing="1" w:line="375" w:lineRule="atLeast"/>
      <w:jc w:val="left"/>
    </w:pPr>
    <w:rPr>
      <w:rFonts w:ascii="ˎ̥" w:hAnsi="ˎ̥"/>
      <w:kern w:val="0"/>
      <w:sz w:val="24"/>
    </w:rPr>
  </w:style>
  <w:style w:type="paragraph" w:styleId="255">
    <w:name w:val="List Paragraph"/>
    <w:basedOn w:val="1"/>
    <w:unhideWhenUsed/>
    <w:qFormat/>
    <w:uiPriority w:val="99"/>
    <w:pPr>
      <w:ind w:firstLine="420" w:firstLineChars="200"/>
    </w:pPr>
  </w:style>
  <w:style w:type="paragraph" w:customStyle="1" w:styleId="256">
    <w:name w:val="纯文本2"/>
    <w:basedOn w:val="1"/>
    <w:qFormat/>
    <w:uiPriority w:val="0"/>
    <w:rPr>
      <w:rFonts w:ascii="宋体" w:hAnsi="Courier New"/>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37BC2-E864-4069-8FFA-C1AA1A1504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5213</Words>
  <Characters>29716</Characters>
  <Lines>247</Lines>
  <Paragraphs>69</Paragraphs>
  <TotalTime>37</TotalTime>
  <ScaleCrop>false</ScaleCrop>
  <LinksUpToDate>false</LinksUpToDate>
  <CharactersWithSpaces>34860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2019-10-07T05:24:00Z</dcterms:created>
  <dc:creator>kikmfga</dc:creator>
  <cp:lastModifiedBy>十里故清欢</cp:lastModifiedBy>
  <cp:lastPrinted>2022-01-19T09:14:00Z</cp:lastPrinted>
  <dcterms:modified xsi:type="dcterms:W3CDTF">2022-02-14T13:04:55Z</dcterms:modified>
  <dc:title>江苏省房屋建筑和市政基础设施工程</dc:title>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E431344A8C264C1DA38073FD080A3BAB</vt:lpwstr>
  </property>
</Properties>
</file>